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4F88D">
      <w:pPr>
        <w:snapToGrid w:val="0"/>
        <w:spacing w:line="560" w:lineRule="exact"/>
        <w:jc w:val="center"/>
        <w:outlineLvl w:val="0"/>
        <w:rPr>
          <w:rFonts w:hint="default" w:ascii="Times New Roman" w:hAnsi="Times New Roman" w:eastAsia="方正小标宋_GBK" w:cs="Times New Roman"/>
          <w:color w:val="auto"/>
          <w:sz w:val="44"/>
          <w:lang w:eastAsia="zh-CN"/>
        </w:rPr>
      </w:pPr>
    </w:p>
    <w:p w14:paraId="681EF2A7">
      <w:pPr>
        <w:snapToGrid w:val="0"/>
        <w:spacing w:line="560" w:lineRule="exact"/>
        <w:jc w:val="center"/>
        <w:outlineLvl w:val="0"/>
        <w:rPr>
          <w:rFonts w:hint="default" w:ascii="Times New Roman" w:hAnsi="Times New Roman" w:eastAsia="方正小标宋_GBK" w:cs="Times New Roman"/>
          <w:color w:val="auto"/>
          <w:sz w:val="44"/>
        </w:rPr>
      </w:pPr>
      <w:r>
        <w:rPr>
          <w:rFonts w:hint="default" w:ascii="Times New Roman" w:hAnsi="Times New Roman" w:eastAsia="方正小标宋_GBK" w:cs="Times New Roman"/>
          <w:color w:val="auto"/>
          <w:sz w:val="44"/>
          <w:lang w:eastAsia="zh-CN"/>
        </w:rPr>
        <w:t>202</w:t>
      </w:r>
      <w:r>
        <w:rPr>
          <w:rFonts w:hint="eastAsia" w:ascii="Times New Roman" w:hAnsi="Times New Roman" w:eastAsia="方正小标宋_GBK" w:cs="Times New Roman"/>
          <w:color w:val="auto"/>
          <w:sz w:val="44"/>
          <w:lang w:val="en-US" w:eastAsia="zh-CN"/>
        </w:rPr>
        <w:t>6</w:t>
      </w:r>
      <w:r>
        <w:rPr>
          <w:rFonts w:hint="default" w:ascii="Times New Roman" w:hAnsi="Times New Roman" w:eastAsia="方正小标宋_GBK" w:cs="Times New Roman"/>
          <w:color w:val="auto"/>
          <w:sz w:val="44"/>
        </w:rPr>
        <w:t>年度广州住房公积金</w:t>
      </w:r>
    </w:p>
    <w:p w14:paraId="778710D8">
      <w:pPr>
        <w:snapToGrid w:val="0"/>
        <w:spacing w:line="560" w:lineRule="exact"/>
        <w:jc w:val="center"/>
        <w:outlineLvl w:val="0"/>
        <w:rPr>
          <w:rFonts w:hint="default" w:ascii="Times New Roman" w:hAnsi="Times New Roman" w:eastAsia="方正小标宋_GBK" w:cs="Times New Roman"/>
          <w:color w:val="auto"/>
          <w:sz w:val="44"/>
        </w:rPr>
      </w:pPr>
      <w:r>
        <w:rPr>
          <w:rFonts w:hint="default" w:ascii="Times New Roman" w:hAnsi="Times New Roman" w:eastAsia="方正小标宋_GBK" w:cs="Times New Roman"/>
          <w:color w:val="auto"/>
          <w:sz w:val="44"/>
        </w:rPr>
        <w:t>缴存调整工作指引</w:t>
      </w:r>
    </w:p>
    <w:p w14:paraId="7F6074BC">
      <w:pPr>
        <w:snapToGrid w:val="0"/>
        <w:spacing w:line="560" w:lineRule="exact"/>
        <w:ind w:firstLine="640" w:firstLineChars="200"/>
        <w:rPr>
          <w:rFonts w:hint="default" w:ascii="Times New Roman" w:hAnsi="Times New Roman" w:eastAsia="仿宋_GB2312" w:cs="Times New Roman"/>
          <w:color w:val="auto"/>
          <w:sz w:val="32"/>
        </w:rPr>
      </w:pPr>
    </w:p>
    <w:p w14:paraId="4CEA12BD">
      <w:pPr>
        <w:snapToGrid w:val="0"/>
        <w:spacing w:line="560" w:lineRule="exact"/>
        <w:ind w:firstLine="640" w:firstLineChars="200"/>
        <w:rPr>
          <w:rFonts w:hint="default" w:ascii="Times New Roman" w:hAnsi="Times New Roman" w:cs="Times New Roman"/>
          <w:color w:val="auto"/>
          <w:sz w:val="32"/>
          <w:lang w:val="en-US" w:eastAsia="zh-CN"/>
        </w:rPr>
      </w:pPr>
      <w:r>
        <w:rPr>
          <w:rFonts w:hint="default" w:ascii="Times New Roman" w:hAnsi="Times New Roman" w:eastAsia="仿宋_GB2312" w:cs="Times New Roman"/>
          <w:color w:val="auto"/>
          <w:sz w:val="32"/>
          <w:lang w:val="en-US" w:eastAsia="zh-CN"/>
        </w:rPr>
        <w:t>各缴存单位应当按照《广州住房公积金管理中心关于</w:t>
      </w: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lang w:val="en-US" w:eastAsia="zh-CN"/>
        </w:rPr>
        <w:t>年度住房公积金缴存调整有关问题的通知》规定，做好</w:t>
      </w: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rPr>
        <w:t>年度</w:t>
      </w:r>
      <w:r>
        <w:rPr>
          <w:rFonts w:hint="default" w:ascii="Times New Roman" w:hAnsi="Times New Roman" w:eastAsia="仿宋_GB2312" w:cs="Times New Roman"/>
          <w:color w:val="auto"/>
          <w:sz w:val="32"/>
          <w:lang w:eastAsia="zh-CN"/>
        </w:rPr>
        <w:t>（自</w:t>
      </w: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lang w:val="en-US" w:eastAsia="zh-CN"/>
        </w:rPr>
        <w:t>年7月1日至202</w:t>
      </w:r>
      <w:r>
        <w:rPr>
          <w:rFonts w:hint="default" w:ascii="Times New Roman" w:hAnsi="Times New Roman" w:cs="Times New Roman"/>
          <w:color w:val="auto"/>
          <w:sz w:val="32"/>
          <w:lang w:val="en-US" w:eastAsia="zh-CN"/>
        </w:rPr>
        <w:t>7</w:t>
      </w:r>
      <w:r>
        <w:rPr>
          <w:rFonts w:hint="default" w:ascii="Times New Roman" w:hAnsi="Times New Roman" w:eastAsia="仿宋_GB2312" w:cs="Times New Roman"/>
          <w:color w:val="auto"/>
          <w:sz w:val="32"/>
          <w:lang w:val="en-US" w:eastAsia="zh-CN"/>
        </w:rPr>
        <w:t>年6月30日</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住房公积金缴存</w:t>
      </w:r>
      <w:r>
        <w:rPr>
          <w:rFonts w:hint="default" w:ascii="Times New Roman" w:hAnsi="Times New Roman" w:eastAsia="仿宋_GB2312" w:cs="Times New Roman"/>
          <w:color w:val="auto"/>
          <w:sz w:val="32"/>
          <w:lang w:eastAsia="zh-CN"/>
        </w:rPr>
        <w:t>基数和缴存比例</w:t>
      </w:r>
      <w:r>
        <w:rPr>
          <w:rFonts w:hint="default" w:ascii="Times New Roman" w:hAnsi="Times New Roman" w:eastAsia="仿宋_GB2312" w:cs="Times New Roman"/>
          <w:color w:val="auto"/>
          <w:sz w:val="32"/>
        </w:rPr>
        <w:t>调整</w:t>
      </w:r>
      <w:r>
        <w:rPr>
          <w:rFonts w:hint="default" w:ascii="Times New Roman" w:hAnsi="Times New Roman" w:eastAsia="仿宋_GB2312" w:cs="Times New Roman"/>
          <w:color w:val="auto"/>
          <w:sz w:val="32"/>
          <w:lang w:val="en-US" w:eastAsia="zh-CN"/>
        </w:rPr>
        <w:t>工作，调整完成后及时办理汇补缴。</w:t>
      </w:r>
    </w:p>
    <w:p w14:paraId="4A2B11B6">
      <w:pPr>
        <w:snapToGrid w:val="0"/>
        <w:spacing w:line="560" w:lineRule="exact"/>
        <w:ind w:firstLine="640" w:firstLineChars="200"/>
        <w:rPr>
          <w:rFonts w:hint="default" w:ascii="Times New Roman" w:hAnsi="Times New Roman" w:cs="Times New Roman"/>
          <w:color w:val="auto"/>
          <w:sz w:val="32"/>
        </w:rPr>
      </w:pPr>
      <w:r>
        <w:rPr>
          <w:rFonts w:hint="default" w:ascii="Times New Roman" w:hAnsi="Times New Roman" w:eastAsia="黑体" w:cs="Times New Roman"/>
          <w:color w:val="auto"/>
          <w:sz w:val="32"/>
          <w:lang w:eastAsia="zh-CN"/>
        </w:rPr>
        <w:t>一、办理</w:t>
      </w:r>
      <w:r>
        <w:rPr>
          <w:rFonts w:hint="default" w:ascii="Times New Roman" w:hAnsi="Times New Roman" w:eastAsia="黑体" w:cs="Times New Roman"/>
          <w:color w:val="auto"/>
          <w:sz w:val="32"/>
        </w:rPr>
        <w:t>时间和方式</w:t>
      </w:r>
    </w:p>
    <w:p w14:paraId="1EC21BC2">
      <w:pPr>
        <w:snapToGrid w:val="0"/>
        <w:spacing w:line="560" w:lineRule="exact"/>
        <w:ind w:firstLine="640" w:firstLineChars="200"/>
        <w:rPr>
          <w:rFonts w:hint="default" w:ascii="Times New Roman" w:hAnsi="Times New Roman" w:eastAsia="黑体" w:cs="Times New Roman"/>
          <w:color w:val="auto"/>
          <w:sz w:val="32"/>
          <w:lang w:eastAsia="zh-CN"/>
        </w:rPr>
      </w:pP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lang w:val="en-US" w:eastAsia="zh-CN"/>
        </w:rPr>
        <w:t>年度住房公积金缴存调整业务</w:t>
      </w:r>
      <w:r>
        <w:rPr>
          <w:rFonts w:hint="default" w:ascii="Times New Roman" w:hAnsi="Times New Roman" w:eastAsia="仿宋_GB2312" w:cs="Times New Roman"/>
          <w:color w:val="auto"/>
          <w:sz w:val="32"/>
        </w:rPr>
        <w:t>办理时间</w:t>
      </w:r>
      <w:r>
        <w:rPr>
          <w:rFonts w:hint="default" w:ascii="Times New Roman" w:hAnsi="Times New Roman" w:eastAsia="仿宋_GB2312" w:cs="Times New Roman"/>
          <w:color w:val="auto"/>
          <w:sz w:val="32"/>
          <w:lang w:eastAsia="zh-CN"/>
        </w:rPr>
        <w:t>为</w:t>
      </w: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rPr>
        <w:t>年7月1日至1</w:t>
      </w:r>
      <w:r>
        <w:rPr>
          <w:rFonts w:hint="default" w:ascii="Times New Roman" w:hAnsi="Times New Roman" w:eastAsia="仿宋_GB2312" w:cs="Times New Roman"/>
          <w:color w:val="auto"/>
          <w:sz w:val="32"/>
          <w:lang w:val="en-US"/>
        </w:rPr>
        <w:t>1</w:t>
      </w:r>
      <w:r>
        <w:rPr>
          <w:rFonts w:hint="default" w:ascii="Times New Roman" w:hAnsi="Times New Roman" w:eastAsia="仿宋_GB2312" w:cs="Times New Roman"/>
          <w:color w:val="auto"/>
          <w:sz w:val="32"/>
        </w:rPr>
        <w:t>月3</w:t>
      </w:r>
      <w:r>
        <w:rPr>
          <w:rFonts w:hint="default" w:ascii="Times New Roman" w:hAnsi="Times New Roman" w:eastAsia="仿宋_GB2312" w:cs="Times New Roman"/>
          <w:color w:val="auto"/>
          <w:sz w:val="32"/>
          <w:lang w:val="en-US"/>
        </w:rPr>
        <w:t>0</w:t>
      </w:r>
      <w:r>
        <w:rPr>
          <w:rFonts w:hint="default" w:ascii="Times New Roman" w:hAnsi="Times New Roman" w:eastAsia="仿宋_GB2312" w:cs="Times New Roman"/>
          <w:color w:val="auto"/>
          <w:sz w:val="32"/>
        </w:rPr>
        <w:t>日</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以网上自助办理为主</w:t>
      </w:r>
      <w:r>
        <w:rPr>
          <w:rFonts w:hint="default" w:ascii="Times New Roman" w:hAnsi="Times New Roman" w:eastAsia="仿宋_GB2312" w:cs="Times New Roman"/>
          <w:color w:val="auto"/>
          <w:sz w:val="32"/>
          <w:lang w:eastAsia="zh-CN"/>
        </w:rPr>
        <w:t>，有需要的单位也可预约前往住房公积金归集业务承办银行网点办理。</w:t>
      </w:r>
    </w:p>
    <w:p w14:paraId="72D5FBCA">
      <w:pPr>
        <w:snapToGrid w:val="0"/>
        <w:spacing w:line="560" w:lineRule="exact"/>
        <w:ind w:firstLine="640" w:firstLineChars="20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lang w:eastAsia="zh-CN"/>
        </w:rPr>
        <w:t>二</w:t>
      </w:r>
      <w:r>
        <w:rPr>
          <w:rFonts w:hint="default" w:ascii="Times New Roman" w:hAnsi="Times New Roman" w:eastAsia="黑体" w:cs="Times New Roman"/>
          <w:color w:val="auto"/>
          <w:sz w:val="32"/>
        </w:rPr>
        <w:t>、办理程序</w:t>
      </w:r>
    </w:p>
    <w:p w14:paraId="2F99F440">
      <w:pPr>
        <w:snapToGrid w:val="0"/>
        <w:spacing w:line="560" w:lineRule="exact"/>
        <w:ind w:firstLine="640" w:firstLineChars="200"/>
        <w:rPr>
          <w:rFonts w:hint="default" w:ascii="Times New Roman" w:hAnsi="Times New Roman" w:eastAsia="仿宋_GB2312" w:cs="Times New Roman"/>
          <w:color w:val="auto"/>
          <w:sz w:val="32"/>
          <w:lang w:val="en-US" w:eastAsia="zh-CN"/>
        </w:rPr>
      </w:pPr>
      <w:r>
        <w:rPr>
          <w:rFonts w:hint="default" w:ascii="Times New Roman" w:hAnsi="Times New Roman" w:eastAsia="楷体_GB2312" w:cs="Times New Roman"/>
          <w:color w:val="auto"/>
          <w:sz w:val="32"/>
          <w:lang w:val="en-US" w:eastAsia="zh-CN"/>
        </w:rPr>
        <w:t>（一）网上办理：</w:t>
      </w:r>
      <w:r>
        <w:rPr>
          <w:rFonts w:hint="default" w:ascii="Times New Roman" w:hAnsi="Times New Roman" w:eastAsia="仿宋_GB2312" w:cs="Times New Roman"/>
          <w:color w:val="auto"/>
          <w:sz w:val="32"/>
          <w:lang w:eastAsia="zh-CN"/>
        </w:rPr>
        <w:t>填写</w:t>
      </w:r>
      <w:r>
        <w:rPr>
          <w:rFonts w:hint="default" w:ascii="Times New Roman" w:hAnsi="Times New Roman" w:eastAsia="仿宋_GB2312" w:cs="Times New Roman"/>
          <w:color w:val="auto"/>
          <w:sz w:val="32"/>
        </w:rPr>
        <w:t>《住房公积金年度缴存调整批处理</w:t>
      </w:r>
      <w:r>
        <w:rPr>
          <w:rFonts w:hint="default" w:ascii="Times New Roman" w:hAnsi="Times New Roman" w:eastAsia="仿宋_GB2312" w:cs="Times New Roman"/>
          <w:color w:val="auto"/>
          <w:sz w:val="32"/>
          <w:lang w:eastAsia="zh-CN"/>
        </w:rPr>
        <w:t>文件</w:t>
      </w: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eastAsia="zh-CN"/>
        </w:rPr>
        <w:t>→登录</w:t>
      </w:r>
      <w:r>
        <w:rPr>
          <w:rFonts w:hint="default" w:ascii="Times New Roman" w:hAnsi="Times New Roman" w:eastAsia="仿宋_GB2312" w:cs="Times New Roman"/>
          <w:color w:val="auto"/>
          <w:sz w:val="32"/>
          <w:lang w:val="en-US" w:eastAsia="zh-CN"/>
        </w:rPr>
        <w:t>网上办事大厅</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单位业务</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缴存业务</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年度缴存调整。</w:t>
      </w:r>
    </w:p>
    <w:p w14:paraId="2A46DE5A">
      <w:pPr>
        <w:snapToGrid w:val="0"/>
        <w:spacing w:line="560" w:lineRule="exact"/>
        <w:ind w:firstLine="640" w:firstLineChars="200"/>
        <w:rPr>
          <w:rFonts w:hint="default" w:ascii="Times New Roman" w:hAnsi="Times New Roman" w:cs="Times New Roman"/>
          <w:color w:val="auto"/>
          <w:sz w:val="32"/>
        </w:rPr>
      </w:pPr>
      <w:r>
        <w:rPr>
          <w:rFonts w:hint="default" w:ascii="Times New Roman" w:hAnsi="Times New Roman" w:eastAsia="楷体_GB2312" w:cs="Times New Roman"/>
          <w:color w:val="auto"/>
          <w:sz w:val="32"/>
          <w:lang w:val="en-US" w:eastAsia="zh-CN"/>
        </w:rPr>
        <w:t>（二）</w:t>
      </w:r>
      <w:r>
        <w:rPr>
          <w:rFonts w:hint="default" w:ascii="Times New Roman" w:hAnsi="Times New Roman" w:eastAsia="楷体_GB2312" w:cs="Times New Roman"/>
          <w:color w:val="auto"/>
          <w:sz w:val="32"/>
        </w:rPr>
        <w:t>银行网点办理：</w:t>
      </w:r>
      <w:r>
        <w:rPr>
          <w:rFonts w:hint="default" w:ascii="Times New Roman" w:hAnsi="Times New Roman" w:eastAsia="仿宋_GB2312" w:cs="Times New Roman"/>
          <w:color w:val="auto"/>
          <w:sz w:val="32"/>
          <w:lang w:eastAsia="zh-CN"/>
        </w:rPr>
        <w:t>填写</w:t>
      </w:r>
      <w:r>
        <w:rPr>
          <w:rFonts w:hint="default" w:ascii="Times New Roman" w:hAnsi="Times New Roman" w:eastAsia="仿宋_GB2312" w:cs="Times New Roman"/>
          <w:color w:val="auto"/>
          <w:sz w:val="32"/>
        </w:rPr>
        <w:t>《住房公积金年度缴存调整批处理</w:t>
      </w:r>
      <w:r>
        <w:rPr>
          <w:rFonts w:hint="default" w:ascii="Times New Roman" w:hAnsi="Times New Roman" w:eastAsia="仿宋_GB2312" w:cs="Times New Roman"/>
          <w:color w:val="auto"/>
          <w:sz w:val="32"/>
          <w:lang w:eastAsia="zh-CN"/>
        </w:rPr>
        <w:t>文件</w:t>
      </w: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eastAsia="zh-CN"/>
        </w:rPr>
        <w:t>（纸质版</w:t>
      </w:r>
      <w:r>
        <w:rPr>
          <w:rFonts w:hint="default" w:ascii="Times New Roman" w:hAnsi="Times New Roman" w:eastAsia="仿宋_GB2312" w:cs="Times New Roman"/>
          <w:color w:val="auto"/>
          <w:sz w:val="32"/>
        </w:rPr>
        <w:t>加盖单位公章并提供电子文档</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中心</w:t>
      </w:r>
      <w:r>
        <w:rPr>
          <w:rFonts w:hint="default" w:ascii="Times New Roman" w:hAnsi="Times New Roman" w:eastAsia="仿宋_GB2312" w:cs="Times New Roman"/>
          <w:color w:val="auto"/>
          <w:sz w:val="32"/>
          <w:lang w:eastAsia="zh-CN"/>
        </w:rPr>
        <w:t>网站或微信</w:t>
      </w:r>
      <w:r>
        <w:rPr>
          <w:rFonts w:hint="eastAsia" w:ascii="Times New Roman" w:hAnsi="Times New Roman" w:eastAsia="仿宋_GB2312" w:cs="Times New Roman"/>
          <w:color w:val="auto"/>
          <w:sz w:val="32"/>
          <w:lang w:val="en-US" w:eastAsia="zh-CN"/>
        </w:rPr>
        <w:t>服务</w:t>
      </w:r>
      <w:r>
        <w:rPr>
          <w:rFonts w:hint="default" w:ascii="Times New Roman" w:hAnsi="Times New Roman" w:eastAsia="仿宋_GB2312" w:cs="Times New Roman"/>
          <w:color w:val="auto"/>
          <w:sz w:val="32"/>
          <w:lang w:eastAsia="zh-CN"/>
        </w:rPr>
        <w:t>号</w:t>
      </w:r>
      <w:r>
        <w:rPr>
          <w:rFonts w:hint="default" w:ascii="Times New Roman" w:hAnsi="Times New Roman" w:eastAsia="仿宋_GB2312" w:cs="Times New Roman"/>
          <w:color w:val="auto"/>
          <w:sz w:val="32"/>
        </w:rPr>
        <w:t>预约</w:t>
      </w:r>
      <w:r>
        <w:rPr>
          <w:rFonts w:hint="default" w:ascii="Times New Roman" w:hAnsi="Times New Roman" w:eastAsia="仿宋_GB2312" w:cs="Times New Roman"/>
          <w:color w:val="auto"/>
          <w:sz w:val="32"/>
          <w:lang w:eastAsia="zh-CN"/>
        </w:rPr>
        <w:t>→按照</w:t>
      </w:r>
      <w:r>
        <w:rPr>
          <w:rFonts w:hint="default" w:ascii="Times New Roman" w:hAnsi="Times New Roman" w:eastAsia="仿宋_GB2312" w:cs="Times New Roman"/>
          <w:color w:val="auto"/>
          <w:sz w:val="32"/>
        </w:rPr>
        <w:t>预约的银行网点、时段到现场取号办理。</w:t>
      </w:r>
    </w:p>
    <w:p w14:paraId="55E6D69C">
      <w:pPr>
        <w:snapToGrid w:val="0"/>
        <w:spacing w:line="560" w:lineRule="exact"/>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注：</w:t>
      </w: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单位经办人</w:t>
      </w:r>
      <w:r>
        <w:rPr>
          <w:rFonts w:hint="default" w:ascii="Times New Roman" w:hAnsi="Times New Roman" w:eastAsia="仿宋_GB2312" w:cs="Times New Roman"/>
          <w:color w:val="auto"/>
          <w:sz w:val="32"/>
          <w:lang w:eastAsia="zh-CN"/>
        </w:rPr>
        <w:t>变更的，</w:t>
      </w:r>
      <w:r>
        <w:rPr>
          <w:rFonts w:hint="default" w:ascii="Times New Roman" w:hAnsi="Times New Roman" w:eastAsia="仿宋_GB2312" w:cs="Times New Roman"/>
          <w:color w:val="auto"/>
          <w:sz w:val="32"/>
          <w:lang w:val="en-US" w:eastAsia="zh-CN"/>
        </w:rPr>
        <w:t>须</w:t>
      </w:r>
      <w:r>
        <w:rPr>
          <w:rFonts w:hint="default" w:ascii="Times New Roman" w:hAnsi="Times New Roman" w:eastAsia="仿宋_GB2312" w:cs="Times New Roman"/>
          <w:color w:val="auto"/>
          <w:sz w:val="32"/>
          <w:lang w:eastAsia="zh-CN"/>
        </w:rPr>
        <w:t>先</w:t>
      </w:r>
      <w:r>
        <w:rPr>
          <w:rFonts w:hint="default" w:ascii="Times New Roman" w:hAnsi="Times New Roman" w:eastAsia="仿宋_GB2312" w:cs="Times New Roman"/>
          <w:color w:val="auto"/>
          <w:sz w:val="32"/>
        </w:rPr>
        <w:t>办理变更手续</w:t>
      </w:r>
      <w:r>
        <w:rPr>
          <w:rFonts w:hint="default" w:ascii="Times New Roman" w:hAnsi="Times New Roman" w:eastAsia="仿宋_GB2312" w:cs="Times New Roman"/>
          <w:color w:val="auto"/>
          <w:sz w:val="32"/>
          <w:lang w:eastAsia="zh-CN"/>
        </w:rPr>
        <w:t>，再</w:t>
      </w:r>
      <w:r>
        <w:rPr>
          <w:rFonts w:hint="default" w:ascii="Times New Roman" w:hAnsi="Times New Roman" w:eastAsia="仿宋_GB2312" w:cs="Times New Roman"/>
          <w:color w:val="auto"/>
          <w:sz w:val="32"/>
        </w:rPr>
        <w:t>办理年度缴存调整业务</w:t>
      </w:r>
      <w:r>
        <w:rPr>
          <w:rFonts w:hint="default" w:ascii="Times New Roman" w:hAnsi="Times New Roman" w:eastAsia="仿宋_GB2312" w:cs="Times New Roman"/>
          <w:color w:val="auto"/>
          <w:sz w:val="32"/>
          <w:lang w:eastAsia="zh-CN"/>
        </w:rPr>
        <w:t>。</w:t>
      </w:r>
    </w:p>
    <w:p w14:paraId="50066DD2">
      <w:pPr>
        <w:snapToGrid w:val="0"/>
        <w:spacing w:line="560" w:lineRule="exact"/>
        <w:ind w:firstLine="640" w:firstLineChars="200"/>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lang w:eastAsia="zh-CN"/>
        </w:rPr>
        <w:t>人力资源市场中介机构</w:t>
      </w:r>
      <w:r>
        <w:rPr>
          <w:rFonts w:hint="default" w:ascii="Times New Roman" w:hAnsi="Times New Roman" w:eastAsia="仿宋_GB2312" w:cs="Times New Roman"/>
          <w:color w:val="auto"/>
          <w:sz w:val="32"/>
          <w:lang w:val="en-US" w:eastAsia="zh-CN"/>
        </w:rPr>
        <w:t>须</w:t>
      </w:r>
      <w:r>
        <w:rPr>
          <w:rFonts w:hint="default" w:ascii="Times New Roman" w:hAnsi="Times New Roman" w:eastAsia="仿宋_GB2312" w:cs="Times New Roman"/>
          <w:color w:val="auto"/>
          <w:sz w:val="32"/>
          <w:lang w:eastAsia="zh-CN"/>
        </w:rPr>
        <w:t>先</w:t>
      </w:r>
      <w:r>
        <w:rPr>
          <w:rFonts w:hint="default" w:ascii="Times New Roman" w:hAnsi="Times New Roman" w:eastAsia="仿宋_GB2312" w:cs="Times New Roman"/>
          <w:color w:val="auto"/>
          <w:sz w:val="32"/>
          <w:lang w:val="en-US" w:eastAsia="zh-CN"/>
        </w:rPr>
        <w:t>办理</w:t>
      </w:r>
      <w:r>
        <w:rPr>
          <w:rFonts w:hint="default" w:ascii="Times New Roman" w:hAnsi="Times New Roman" w:eastAsia="仿宋_GB2312" w:cs="Times New Roman"/>
          <w:color w:val="auto"/>
          <w:sz w:val="32"/>
          <w:lang w:eastAsia="zh-CN"/>
        </w:rPr>
        <w:t>多比例</w:t>
      </w:r>
      <w:r>
        <w:rPr>
          <w:rFonts w:hint="default" w:ascii="Times New Roman" w:hAnsi="Times New Roman" w:eastAsia="仿宋_GB2312" w:cs="Times New Roman"/>
          <w:color w:val="auto"/>
          <w:sz w:val="32"/>
        </w:rPr>
        <w:t>申请</w:t>
      </w:r>
      <w:r>
        <w:rPr>
          <w:rFonts w:hint="default" w:ascii="Times New Roman" w:hAnsi="Times New Roman" w:eastAsia="仿宋_GB2312" w:cs="Times New Roman"/>
          <w:color w:val="auto"/>
          <w:sz w:val="32"/>
          <w:lang w:eastAsia="zh-CN"/>
        </w:rPr>
        <w:t>，再办理年度缴存调整</w:t>
      </w:r>
      <w:r>
        <w:rPr>
          <w:rFonts w:hint="default" w:ascii="Times New Roman" w:hAnsi="Times New Roman" w:eastAsia="仿宋_GB2312" w:cs="Times New Roman"/>
          <w:color w:val="auto"/>
          <w:sz w:val="32"/>
          <w:lang w:val="en-US" w:eastAsia="zh-CN"/>
        </w:rPr>
        <w:t>。</w:t>
      </w:r>
    </w:p>
    <w:p w14:paraId="46E7D1F3">
      <w:pPr>
        <w:snapToGrid w:val="0"/>
        <w:spacing w:line="560" w:lineRule="exact"/>
        <w:ind w:firstLine="640" w:firstLineChars="200"/>
        <w:rPr>
          <w:rFonts w:hint="default" w:ascii="Times New Roman" w:hAnsi="Times New Roman" w:eastAsia="黑体" w:cs="Times New Roman"/>
          <w:color w:val="auto"/>
          <w:sz w:val="32"/>
          <w:lang w:eastAsia="zh-CN"/>
        </w:rPr>
      </w:pPr>
      <w:r>
        <w:rPr>
          <w:rFonts w:hint="default" w:ascii="Times New Roman" w:hAnsi="Times New Roman" w:eastAsia="黑体" w:cs="Times New Roman"/>
          <w:color w:val="auto"/>
          <w:sz w:val="32"/>
          <w:lang w:eastAsia="zh-CN"/>
        </w:rPr>
        <w:t>三</w:t>
      </w:r>
      <w:r>
        <w:rPr>
          <w:rFonts w:hint="default" w:ascii="Times New Roman" w:hAnsi="Times New Roman" w:eastAsia="黑体" w:cs="Times New Roman"/>
          <w:color w:val="auto"/>
          <w:sz w:val="32"/>
        </w:rPr>
        <w:t>、</w:t>
      </w:r>
      <w:r>
        <w:rPr>
          <w:rFonts w:hint="default" w:ascii="Times New Roman" w:hAnsi="Times New Roman" w:eastAsia="黑体" w:cs="Times New Roman"/>
          <w:color w:val="auto"/>
          <w:sz w:val="32"/>
          <w:lang w:eastAsia="zh-CN"/>
        </w:rPr>
        <w:t>具体要求</w:t>
      </w:r>
    </w:p>
    <w:p w14:paraId="29AE39AE">
      <w:pPr>
        <w:snapToGrid w:val="0"/>
        <w:spacing w:line="560" w:lineRule="exact"/>
        <w:ind w:firstLine="640" w:firstLineChars="200"/>
        <w:rPr>
          <w:rFonts w:hint="default" w:ascii="Times New Roman" w:hAnsi="Times New Roman" w:eastAsia="楷体_GB2312" w:cs="Times New Roman"/>
          <w:b w:val="0"/>
          <w:bCs/>
          <w:color w:val="auto"/>
          <w:sz w:val="32"/>
          <w:lang w:eastAsia="zh-CN"/>
        </w:rPr>
      </w:pPr>
      <w:r>
        <w:rPr>
          <w:rFonts w:hint="default" w:ascii="Times New Roman" w:hAnsi="Times New Roman" w:eastAsia="楷体_GB2312" w:cs="Times New Roman"/>
          <w:b w:val="0"/>
          <w:bCs/>
          <w:color w:val="auto"/>
          <w:sz w:val="32"/>
          <w:lang w:eastAsia="zh-CN"/>
        </w:rPr>
        <w:t>（一）缴存基数</w:t>
      </w:r>
    </w:p>
    <w:p w14:paraId="43C4E427">
      <w:pPr>
        <w:snapToGrid w:val="0"/>
        <w:spacing w:line="560" w:lineRule="exact"/>
        <w:ind w:firstLine="640" w:firstLineChars="200"/>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住房公积金缴存基数</w:t>
      </w:r>
      <w:r>
        <w:rPr>
          <w:rFonts w:hint="eastAsia" w:ascii="Times New Roman" w:hAnsi="Times New Roman" w:eastAsia="仿宋_GB2312" w:cs="Times New Roman"/>
          <w:color w:val="auto"/>
          <w:sz w:val="32"/>
          <w:lang w:val="en-US" w:eastAsia="zh-CN"/>
        </w:rPr>
        <w:t>调整</w:t>
      </w:r>
      <w:r>
        <w:rPr>
          <w:rFonts w:hint="default" w:ascii="Times New Roman" w:hAnsi="Times New Roman" w:eastAsia="仿宋_GB2312" w:cs="Times New Roman"/>
          <w:color w:val="auto"/>
          <w:sz w:val="32"/>
        </w:rPr>
        <w:t>为职工</w:t>
      </w:r>
      <w:r>
        <w:rPr>
          <w:rFonts w:hint="default" w:ascii="Times New Roman" w:hAnsi="Times New Roman" w:eastAsia="仿宋_GB2312" w:cs="Times New Roman"/>
          <w:color w:val="auto"/>
          <w:sz w:val="32"/>
          <w:lang w:eastAsia="zh-CN"/>
        </w:rPr>
        <w:t>本人</w:t>
      </w:r>
      <w:r>
        <w:rPr>
          <w:rFonts w:hint="default" w:ascii="Times New Roman" w:hAnsi="Times New Roman" w:eastAsia="仿宋_GB2312" w:cs="Times New Roman"/>
          <w:color w:val="auto"/>
          <w:sz w:val="32"/>
          <w:lang w:val="en-US" w:eastAsia="zh-CN"/>
        </w:rPr>
        <w:t>2025</w:t>
      </w:r>
      <w:r>
        <w:rPr>
          <w:rFonts w:hint="default" w:ascii="Times New Roman" w:hAnsi="Times New Roman" w:eastAsia="仿宋_GB2312" w:cs="Times New Roman"/>
          <w:color w:val="auto"/>
          <w:sz w:val="32"/>
        </w:rPr>
        <w:t>年月平均工资。工资</w:t>
      </w:r>
      <w:r>
        <w:rPr>
          <w:rFonts w:hint="default" w:ascii="Times New Roman" w:hAnsi="Times New Roman" w:eastAsia="仿宋_GB2312" w:cs="Times New Roman"/>
          <w:color w:val="auto"/>
          <w:sz w:val="32"/>
          <w:lang w:eastAsia="zh-CN"/>
        </w:rPr>
        <w:t>计算按照</w:t>
      </w:r>
      <w:r>
        <w:rPr>
          <w:rFonts w:hint="default" w:ascii="Times New Roman" w:hAnsi="Times New Roman" w:eastAsia="仿宋_GB2312" w:cs="Times New Roman"/>
          <w:color w:val="auto"/>
          <w:sz w:val="32"/>
        </w:rPr>
        <w:t>国家统计局《关于工资总额组成的规定》（统制字〔1990〕1号）</w:t>
      </w:r>
      <w:r>
        <w:rPr>
          <w:rFonts w:hint="default" w:ascii="Times New Roman" w:hAnsi="Times New Roman" w:eastAsia="仿宋_GB2312" w:cs="Times New Roman"/>
          <w:color w:val="auto"/>
          <w:sz w:val="32"/>
          <w:lang w:eastAsia="zh-CN"/>
        </w:rPr>
        <w:t>执行</w:t>
      </w: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eastAsia="zh-CN"/>
        </w:rPr>
        <w:t>调整后的</w:t>
      </w:r>
      <w:r>
        <w:rPr>
          <w:rFonts w:hint="default" w:ascii="Times New Roman" w:hAnsi="Times New Roman" w:eastAsia="仿宋_GB2312" w:cs="Times New Roman"/>
          <w:color w:val="auto"/>
          <w:sz w:val="32"/>
        </w:rPr>
        <w:t>缴存基数不低于本市最低工资标准</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现行</w:t>
      </w:r>
      <w:r>
        <w:rPr>
          <w:rFonts w:hint="default" w:ascii="Times New Roman" w:hAnsi="Times New Roman" w:eastAsia="仿宋_GB2312" w:cs="Times New Roman"/>
          <w:color w:val="auto"/>
          <w:sz w:val="32"/>
          <w:lang w:eastAsia="zh-CN"/>
        </w:rPr>
        <w:t>为</w:t>
      </w:r>
      <w:r>
        <w:rPr>
          <w:rFonts w:hint="default" w:ascii="Times New Roman" w:hAnsi="Times New Roman" w:cs="Times New Roman"/>
          <w:color w:val="auto"/>
          <w:sz w:val="32"/>
        </w:rPr>
        <w:t>2</w:t>
      </w:r>
      <w:r>
        <w:rPr>
          <w:rFonts w:hint="default" w:ascii="Times New Roman" w:hAnsi="Times New Roman" w:eastAsia="宋体" w:cs="Times New Roman"/>
          <w:color w:val="auto"/>
          <w:sz w:val="32"/>
          <w:lang w:val="en-US" w:eastAsia="zh-CN"/>
        </w:rPr>
        <w:t>5</w:t>
      </w:r>
      <w:r>
        <w:rPr>
          <w:rFonts w:hint="default" w:ascii="Times New Roman" w:hAnsi="Times New Roman" w:cs="Times New Roman"/>
          <w:color w:val="auto"/>
          <w:sz w:val="32"/>
        </w:rPr>
        <w:t>00</w:t>
      </w:r>
      <w:r>
        <w:rPr>
          <w:rFonts w:hint="default" w:ascii="Times New Roman" w:hAnsi="Times New Roman" w:eastAsia="仿宋_GB2312" w:cs="Times New Roman"/>
          <w:color w:val="auto"/>
          <w:sz w:val="32"/>
        </w:rPr>
        <w:t>元</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，不高于本市</w:t>
      </w:r>
      <w:r>
        <w:rPr>
          <w:rFonts w:hint="default" w:ascii="Times New Roman" w:hAnsi="Times New Roman" w:eastAsia="仿宋_GB2312" w:cs="Times New Roman"/>
          <w:color w:val="auto"/>
          <w:sz w:val="32"/>
          <w:lang w:val="en-US" w:eastAsia="zh-CN"/>
        </w:rPr>
        <w:t>统计部门公布的2025年广州市职工</w:t>
      </w:r>
      <w:r>
        <w:rPr>
          <w:rFonts w:hint="default" w:ascii="Times New Roman" w:hAnsi="Times New Roman" w:eastAsia="仿宋_GB2312" w:cs="Times New Roman"/>
          <w:color w:val="auto"/>
          <w:sz w:val="32"/>
        </w:rPr>
        <w:t>月平均工资的3倍，</w:t>
      </w:r>
      <w:r>
        <w:rPr>
          <w:rFonts w:hint="default" w:ascii="Times New Roman" w:hAnsi="Times New Roman" w:eastAsia="仿宋_GB2312" w:cs="Times New Roman"/>
          <w:color w:val="auto"/>
          <w:sz w:val="32"/>
          <w:highlight w:val="none"/>
        </w:rPr>
        <w:t>即</w:t>
      </w:r>
      <w:r>
        <w:rPr>
          <w:rFonts w:hint="eastAsia" w:ascii="Times New Roman" w:hAnsi="Times New Roman" w:eastAsia="仿宋_GB2312" w:cs="Times New Roman"/>
          <w:color w:val="auto"/>
          <w:sz w:val="32"/>
          <w:highlight w:val="none"/>
          <w:lang w:val="en-US" w:eastAsia="zh-CN"/>
        </w:rPr>
        <w:t>41697</w:t>
      </w:r>
      <w:r>
        <w:rPr>
          <w:rFonts w:hint="default" w:ascii="Times New Roman" w:hAnsi="Times New Roman" w:eastAsia="仿宋_GB2312" w:cs="Times New Roman"/>
          <w:color w:val="auto"/>
          <w:sz w:val="32"/>
          <w:highlight w:val="none"/>
        </w:rPr>
        <w:t>元。</w:t>
      </w:r>
    </w:p>
    <w:p w14:paraId="20E98989">
      <w:pPr>
        <w:snapToGrid w:val="0"/>
        <w:spacing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val="en-US" w:eastAsia="zh-CN"/>
        </w:rPr>
        <w:t>2.</w:t>
      </w: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lang w:val="en-US" w:eastAsia="zh-CN"/>
        </w:rPr>
        <w:t>年1月1日（含）后新参加工作的职工从参加工作的第二个月起缴存住房公积金，缴存基数为该职工第二个月全月应发工资总额。</w:t>
      </w: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lang w:val="en-US" w:eastAsia="zh-CN"/>
        </w:rPr>
        <w:t>年1月1日（含）后新调入的职工从调入当月起缴存住房公积金，缴存基数为该职工调入当月全月应发工资总额。</w:t>
      </w:r>
    </w:p>
    <w:p w14:paraId="68FF0109">
      <w:pPr>
        <w:snapToGrid w:val="0"/>
        <w:spacing w:line="560" w:lineRule="exact"/>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职工缴存基数等于本市现行最低工资标准的，单位应当按规定为职工缴存住房公积金，经职工本人同意，个人缴存部分可以免缴。</w:t>
      </w:r>
    </w:p>
    <w:p w14:paraId="09647FAD">
      <w:pPr>
        <w:snapToGrid w:val="0"/>
        <w:spacing w:line="560" w:lineRule="exact"/>
        <w:ind w:firstLine="640" w:firstLineChars="200"/>
        <w:rPr>
          <w:rFonts w:hint="default" w:ascii="Times New Roman" w:hAnsi="Times New Roman" w:eastAsia="楷体_GB2312" w:cs="Times New Roman"/>
          <w:b w:val="0"/>
          <w:bCs/>
          <w:color w:val="auto"/>
          <w:sz w:val="32"/>
          <w:lang w:val="en-US" w:eastAsia="zh-CN"/>
        </w:rPr>
      </w:pPr>
      <w:r>
        <w:rPr>
          <w:rFonts w:hint="default" w:ascii="Times New Roman" w:hAnsi="Times New Roman" w:eastAsia="楷体_GB2312" w:cs="Times New Roman"/>
          <w:b w:val="0"/>
          <w:bCs/>
          <w:color w:val="auto"/>
          <w:sz w:val="32"/>
          <w:lang w:val="en-US" w:eastAsia="zh-CN"/>
        </w:rPr>
        <w:t>（二）缴存比例</w:t>
      </w:r>
    </w:p>
    <w:p w14:paraId="638859F8">
      <w:pPr>
        <w:snapToGrid w:val="0"/>
        <w:spacing w:line="560" w:lineRule="exact"/>
        <w:ind w:firstLine="640" w:firstLineChars="200"/>
        <w:rPr>
          <w:rFonts w:hint="default" w:ascii="Times New Roman" w:hAnsi="Times New Roman" w:cs="Times New Roman"/>
          <w:color w:val="auto"/>
          <w:sz w:val="32"/>
          <w:lang w:val="en-US" w:eastAsia="zh-CN"/>
        </w:rPr>
      </w:pPr>
      <w:r>
        <w:rPr>
          <w:rFonts w:hint="default" w:ascii="Times New Roman" w:hAnsi="Times New Roman" w:cs="Times New Roman"/>
          <w:color w:val="auto"/>
          <w:sz w:val="32"/>
          <w:lang w:val="en-US"/>
        </w:rPr>
        <w:t>1</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住房公积金缴存比例不低于5％，不高于12％</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单位</w:t>
      </w:r>
      <w:r>
        <w:rPr>
          <w:rFonts w:hint="default" w:ascii="Times New Roman" w:hAnsi="Times New Roman" w:eastAsia="仿宋_GB2312" w:cs="Times New Roman"/>
          <w:color w:val="auto"/>
          <w:sz w:val="32"/>
          <w:lang w:val="en-US" w:eastAsia="zh-CN"/>
        </w:rPr>
        <w:t>可根据自身实际情况在此区间内自主确定具体缴存比例（取整数值）。</w:t>
      </w:r>
    </w:p>
    <w:p w14:paraId="7E816583">
      <w:pPr>
        <w:snapToGrid w:val="0"/>
        <w:spacing w:line="560" w:lineRule="exact"/>
        <w:ind w:firstLine="640" w:firstLineChars="200"/>
        <w:rPr>
          <w:rFonts w:hint="default" w:ascii="Times New Roman" w:hAnsi="Times New Roman" w:eastAsia="仿宋_GB2312" w:cs="Times New Roman"/>
          <w:color w:val="auto"/>
          <w:sz w:val="32"/>
          <w:lang w:val="en-US" w:eastAsia="zh-CN"/>
        </w:rPr>
      </w:pPr>
      <w:r>
        <w:rPr>
          <w:rFonts w:hint="default" w:ascii="Times New Roman" w:hAnsi="Times New Roman" w:cs="Times New Roman"/>
          <w:color w:val="auto"/>
          <w:sz w:val="32"/>
          <w:lang w:val="en-US" w:eastAsia="zh-CN"/>
        </w:rPr>
        <w:t>2</w:t>
      </w:r>
      <w:r>
        <w:rPr>
          <w:rFonts w:hint="default" w:ascii="Times New Roman" w:hAnsi="Times New Roman" w:eastAsia="仿宋_GB2312" w:cs="Times New Roman"/>
          <w:color w:val="auto"/>
          <w:sz w:val="32"/>
          <w:lang w:val="en-US" w:eastAsia="zh-CN"/>
        </w:rPr>
        <w:t>.同一单位在同一缴存年度内原则上只能选定一个单位缴存比例，个人缴存比例应当等于或高于单位缴存比例。</w:t>
      </w:r>
    </w:p>
    <w:p w14:paraId="1468F109">
      <w:pPr>
        <w:snapToGrid w:val="0"/>
        <w:spacing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cs="Times New Roman"/>
          <w:color w:val="auto"/>
          <w:sz w:val="32"/>
          <w:lang w:val="en-US" w:eastAsia="zh-CN"/>
        </w:rPr>
        <w:t>3</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生产经营困难的企业，可以按照住房公积金缴存年度向</w:t>
      </w:r>
      <w:r>
        <w:rPr>
          <w:rFonts w:hint="eastAsia" w:ascii="Times New Roman" w:hAnsi="Times New Roman" w:eastAsia="仿宋_GB2312" w:cs="Times New Roman"/>
          <w:color w:val="auto"/>
          <w:sz w:val="32"/>
          <w:lang w:val="en-US" w:eastAsia="zh-CN"/>
        </w:rPr>
        <w:t>住房公积金管理</w:t>
      </w:r>
      <w:r>
        <w:rPr>
          <w:rFonts w:hint="default" w:ascii="Times New Roman" w:hAnsi="Times New Roman" w:eastAsia="仿宋_GB2312" w:cs="Times New Roman"/>
          <w:color w:val="auto"/>
          <w:sz w:val="32"/>
        </w:rPr>
        <w:t>中心申请降低缴存比例（低于5%）或者缓缴。</w:t>
      </w:r>
    </w:p>
    <w:p w14:paraId="5761B219">
      <w:pPr>
        <w:snapToGrid w:val="0"/>
        <w:spacing w:line="560" w:lineRule="exact"/>
        <w:ind w:firstLine="640" w:firstLineChars="200"/>
        <w:rPr>
          <w:rFonts w:hint="default" w:ascii="Times New Roman" w:hAnsi="Times New Roman" w:eastAsia="楷体_GB2312" w:cs="Times New Roman"/>
          <w:b w:val="0"/>
          <w:bCs/>
          <w:color w:val="auto"/>
          <w:sz w:val="32"/>
          <w:lang w:eastAsia="zh-CN"/>
        </w:rPr>
      </w:pPr>
      <w:r>
        <w:rPr>
          <w:rFonts w:hint="default" w:ascii="Times New Roman" w:hAnsi="Times New Roman" w:eastAsia="楷体_GB2312" w:cs="Times New Roman"/>
          <w:b w:val="0"/>
          <w:bCs/>
          <w:color w:val="auto"/>
          <w:sz w:val="32"/>
          <w:lang w:eastAsia="zh-CN"/>
        </w:rPr>
        <w:t>（三）月缴存额</w:t>
      </w:r>
    </w:p>
    <w:p w14:paraId="02B6DE25">
      <w:pPr>
        <w:snapToGrid w:val="0"/>
        <w:spacing w:line="560" w:lineRule="exact"/>
        <w:ind w:firstLine="640" w:firstLineChars="200"/>
        <w:rPr>
          <w:rFonts w:hint="default" w:ascii="Times New Roman" w:hAnsi="Times New Roman" w:cs="Times New Roman"/>
          <w:color w:val="auto"/>
          <w:sz w:val="32"/>
        </w:rPr>
      </w:pPr>
      <w:r>
        <w:rPr>
          <w:rFonts w:hint="default" w:ascii="Times New Roman" w:hAnsi="Times New Roman" w:cs="Times New Roman"/>
          <w:color w:val="auto"/>
          <w:sz w:val="32"/>
          <w:lang w:val="en-US" w:eastAsia="zh-CN"/>
        </w:rPr>
        <w:t>1</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lang w:eastAsia="zh-CN"/>
        </w:rPr>
        <w:t>职工住房公积金月缴存额为缴存基数乘以职工住房公积金缴存比例。单位为职工缴存的住房公积金月缴存额为缴存基数乘以单位住房公积金缴存比例。职工个人缴存的和职工所在单位为职工缴存的住房公积金，属于职工个人所有。</w:t>
      </w:r>
    </w:p>
    <w:p w14:paraId="3DBF7B0A">
      <w:pPr>
        <w:snapToGrid w:val="0"/>
        <w:spacing w:line="560" w:lineRule="exact"/>
        <w:ind w:firstLine="640" w:firstLineChars="200"/>
        <w:rPr>
          <w:rFonts w:hint="default" w:ascii="Times New Roman" w:hAnsi="Times New Roman" w:eastAsia="仿宋_GB2312" w:cs="Times New Roman"/>
          <w:b/>
          <w:color w:val="auto"/>
          <w:sz w:val="32"/>
          <w:lang w:eastAsia="zh-CN"/>
        </w:rPr>
      </w:pPr>
      <w:r>
        <w:rPr>
          <w:rFonts w:hint="default" w:ascii="Times New Roman" w:hAnsi="Times New Roman" w:cs="Times New Roman"/>
          <w:color w:val="auto"/>
          <w:sz w:val="32"/>
          <w:lang w:val="en-US" w:eastAsia="zh-CN"/>
        </w:rPr>
        <w:t>2</w:t>
      </w:r>
      <w:r>
        <w:rPr>
          <w:rFonts w:hint="default" w:ascii="Times New Roman" w:hAnsi="Times New Roman" w:eastAsia="仿宋_GB2312" w:cs="Times New Roman"/>
          <w:color w:val="auto"/>
          <w:sz w:val="32"/>
          <w:lang w:val="en-US" w:eastAsia="zh-CN"/>
        </w:rPr>
        <w:t>.在</w:t>
      </w:r>
      <w:r>
        <w:rPr>
          <w:rFonts w:hint="eastAsia" w:ascii="Times New Roman" w:hAnsi="Times New Roman" w:eastAsia="仿宋_GB2312" w:cs="Times New Roman"/>
          <w:color w:val="auto"/>
          <w:sz w:val="32"/>
          <w:lang w:val="en-US" w:eastAsia="zh-CN"/>
        </w:rPr>
        <w:t>同一</w:t>
      </w:r>
      <w:r>
        <w:rPr>
          <w:rFonts w:hint="default" w:ascii="Times New Roman" w:hAnsi="Times New Roman" w:eastAsia="仿宋_GB2312" w:cs="Times New Roman"/>
          <w:color w:val="auto"/>
          <w:sz w:val="32"/>
        </w:rPr>
        <w:t>缴存年度内</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职工月缴存额</w:t>
      </w:r>
      <w:r>
        <w:rPr>
          <w:rFonts w:hint="default" w:ascii="Times New Roman" w:hAnsi="Times New Roman" w:eastAsia="仿宋_GB2312" w:cs="Times New Roman"/>
          <w:color w:val="auto"/>
          <w:sz w:val="32"/>
          <w:lang w:eastAsia="zh-CN"/>
        </w:rPr>
        <w:t>应</w:t>
      </w:r>
      <w:r>
        <w:rPr>
          <w:rFonts w:hint="default" w:ascii="Times New Roman" w:hAnsi="Times New Roman" w:eastAsia="仿宋_GB2312" w:cs="Times New Roman"/>
          <w:color w:val="auto"/>
          <w:sz w:val="32"/>
        </w:rPr>
        <w:t>一致</w:t>
      </w:r>
      <w:r>
        <w:rPr>
          <w:rFonts w:hint="default" w:ascii="Times New Roman" w:hAnsi="Times New Roman" w:eastAsia="仿宋_GB2312" w:cs="Times New Roman"/>
          <w:color w:val="auto"/>
          <w:sz w:val="32"/>
          <w:lang w:eastAsia="zh-CN"/>
        </w:rPr>
        <w:t>，因缴存调整等发生变更的，单位须</w:t>
      </w:r>
      <w:r>
        <w:rPr>
          <w:rFonts w:hint="default" w:ascii="Times New Roman" w:hAnsi="Times New Roman" w:eastAsia="仿宋_GB2312" w:cs="Times New Roman"/>
          <w:color w:val="auto"/>
          <w:sz w:val="32"/>
          <w:lang w:val="en-US" w:eastAsia="zh-CN"/>
        </w:rPr>
        <w:t>及时</w:t>
      </w:r>
      <w:r>
        <w:rPr>
          <w:rFonts w:hint="default" w:ascii="Times New Roman" w:hAnsi="Times New Roman" w:eastAsia="仿宋_GB2312" w:cs="Times New Roman"/>
          <w:color w:val="auto"/>
          <w:sz w:val="32"/>
          <w:lang w:eastAsia="zh-CN"/>
        </w:rPr>
        <w:t>办理补缴或退款。</w:t>
      </w:r>
    </w:p>
    <w:p w14:paraId="3313AAF4">
      <w:pPr>
        <w:snapToGrid w:val="0"/>
        <w:spacing w:line="560" w:lineRule="exact"/>
        <w:ind w:firstLine="640" w:firstLineChars="200"/>
        <w:rPr>
          <w:rFonts w:hint="default" w:ascii="Times New Roman" w:hAnsi="Times New Roman" w:eastAsia="楷体_GB2312" w:cs="Times New Roman"/>
          <w:b w:val="0"/>
          <w:bCs/>
          <w:color w:val="auto"/>
          <w:sz w:val="32"/>
          <w:lang w:eastAsia="zh-CN"/>
        </w:rPr>
      </w:pPr>
      <w:r>
        <w:rPr>
          <w:rFonts w:hint="default" w:ascii="Times New Roman" w:hAnsi="Times New Roman" w:eastAsia="楷体_GB2312" w:cs="Times New Roman"/>
          <w:b w:val="0"/>
          <w:bCs/>
          <w:color w:val="auto"/>
          <w:sz w:val="32"/>
          <w:lang w:eastAsia="zh-CN"/>
        </w:rPr>
        <w:t>（四）调整要求</w:t>
      </w:r>
    </w:p>
    <w:p w14:paraId="02D94C00">
      <w:pPr>
        <w:snapToGrid w:val="0"/>
        <w:spacing w:line="560" w:lineRule="exact"/>
        <w:ind w:firstLine="640" w:firstLineChars="200"/>
        <w:rPr>
          <w:rFonts w:hint="default" w:ascii="Times New Roman" w:hAnsi="Times New Roman" w:cs="Times New Roman"/>
          <w:color w:val="auto"/>
          <w:sz w:val="32"/>
        </w:rPr>
      </w:pP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lang w:eastAsia="zh-CN"/>
        </w:rPr>
        <w:t>各</w:t>
      </w:r>
      <w:r>
        <w:rPr>
          <w:rFonts w:hint="default" w:ascii="Times New Roman" w:hAnsi="Times New Roman" w:eastAsia="仿宋_GB2312" w:cs="Times New Roman"/>
          <w:color w:val="auto"/>
          <w:sz w:val="32"/>
        </w:rPr>
        <w:t>缴存单位</w:t>
      </w:r>
      <w:r>
        <w:rPr>
          <w:rFonts w:hint="default" w:ascii="Times New Roman" w:hAnsi="Times New Roman" w:eastAsia="仿宋_GB2312" w:cs="Times New Roman"/>
          <w:color w:val="auto"/>
          <w:sz w:val="32"/>
          <w:lang w:eastAsia="zh-CN"/>
        </w:rPr>
        <w:t>均</w:t>
      </w:r>
      <w:r>
        <w:rPr>
          <w:rFonts w:hint="default" w:ascii="Times New Roman" w:hAnsi="Times New Roman" w:eastAsia="仿宋_GB2312" w:cs="Times New Roman"/>
          <w:color w:val="auto"/>
          <w:sz w:val="32"/>
        </w:rPr>
        <w:t>应在</w:t>
      </w: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rPr>
        <w:t>年7月1日至</w:t>
      </w:r>
      <w:r>
        <w:rPr>
          <w:rFonts w:hint="default" w:ascii="Times New Roman" w:hAnsi="Times New Roman" w:cs="Times New Roman"/>
          <w:color w:val="auto"/>
          <w:sz w:val="32"/>
          <w:lang w:val="en-US"/>
        </w:rPr>
        <w:t>11</w:t>
      </w:r>
      <w:r>
        <w:rPr>
          <w:rFonts w:hint="default" w:ascii="Times New Roman" w:hAnsi="Times New Roman" w:eastAsia="仿宋_GB2312" w:cs="Times New Roman"/>
          <w:color w:val="auto"/>
          <w:sz w:val="32"/>
        </w:rPr>
        <w:t>月3</w:t>
      </w:r>
      <w:r>
        <w:rPr>
          <w:rFonts w:hint="default" w:ascii="Times New Roman" w:hAnsi="Times New Roman" w:cs="Times New Roman"/>
          <w:color w:val="auto"/>
          <w:sz w:val="32"/>
          <w:lang w:val="en-US"/>
        </w:rPr>
        <w:t>0</w:t>
      </w:r>
      <w:r>
        <w:rPr>
          <w:rFonts w:hint="default" w:ascii="Times New Roman" w:hAnsi="Times New Roman" w:eastAsia="仿宋_GB2312" w:cs="Times New Roman"/>
          <w:color w:val="auto"/>
          <w:sz w:val="32"/>
        </w:rPr>
        <w:t>日期间办理年度</w:t>
      </w:r>
      <w:r>
        <w:rPr>
          <w:rFonts w:hint="default" w:ascii="Times New Roman" w:hAnsi="Times New Roman" w:eastAsia="仿宋_GB2312" w:cs="Times New Roman"/>
          <w:color w:val="auto"/>
          <w:sz w:val="32"/>
          <w:lang w:eastAsia="zh-CN"/>
        </w:rPr>
        <w:t>缴存</w:t>
      </w:r>
      <w:r>
        <w:rPr>
          <w:rFonts w:hint="default" w:ascii="Times New Roman" w:hAnsi="Times New Roman" w:eastAsia="仿宋_GB2312" w:cs="Times New Roman"/>
          <w:color w:val="auto"/>
          <w:sz w:val="32"/>
        </w:rPr>
        <w:t>调整手续</w:t>
      </w:r>
      <w:r>
        <w:rPr>
          <w:rFonts w:hint="default" w:ascii="Times New Roman" w:hAnsi="Times New Roman" w:eastAsia="仿宋_GB2312" w:cs="Times New Roman"/>
          <w:color w:val="auto"/>
          <w:sz w:val="32"/>
          <w:lang w:eastAsia="zh-CN"/>
        </w:rPr>
        <w:t>（</w:t>
      </w: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lang w:val="en-US" w:eastAsia="zh-CN"/>
        </w:rPr>
        <w:t>年7月及之后开设单位账户的除外</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eastAsia="zh-CN"/>
        </w:rPr>
        <w:t>未及时</w:t>
      </w:r>
      <w:r>
        <w:rPr>
          <w:rFonts w:hint="default" w:ascii="Times New Roman" w:hAnsi="Times New Roman" w:eastAsia="仿宋_GB2312" w:cs="Times New Roman"/>
          <w:color w:val="auto"/>
          <w:sz w:val="32"/>
        </w:rPr>
        <w:t>完成调整的，应当继续按时逐月缴存住房公积金。若因单位未连续缴存而影响职工申请住房公积金贷款的，由单位承担责任。</w:t>
      </w:r>
    </w:p>
    <w:p w14:paraId="2EF27955">
      <w:pPr>
        <w:snapToGrid w:val="0"/>
        <w:spacing w:line="560" w:lineRule="exact"/>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val="en-US" w:eastAsia="zh-CN"/>
        </w:rPr>
        <w:t>2.</w:t>
      </w: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rPr>
        <w:t>年</w:t>
      </w:r>
      <w:r>
        <w:rPr>
          <w:rFonts w:hint="default" w:ascii="Times New Roman" w:hAnsi="Times New Roman" w:cs="Times New Roman"/>
          <w:color w:val="auto"/>
          <w:sz w:val="32"/>
          <w:lang w:val="en-US"/>
        </w:rPr>
        <w:t>12</w:t>
      </w:r>
      <w:r>
        <w:rPr>
          <w:rFonts w:hint="default" w:ascii="Times New Roman" w:hAnsi="Times New Roman" w:eastAsia="仿宋_GB2312" w:cs="Times New Roman"/>
          <w:color w:val="auto"/>
          <w:sz w:val="32"/>
        </w:rPr>
        <w:t>月1日（含）后仍未办理年度</w:t>
      </w:r>
      <w:r>
        <w:rPr>
          <w:rFonts w:hint="default" w:ascii="Times New Roman" w:hAnsi="Times New Roman" w:eastAsia="仿宋_GB2312" w:cs="Times New Roman"/>
          <w:color w:val="auto"/>
          <w:sz w:val="32"/>
          <w:lang w:eastAsia="zh-CN"/>
        </w:rPr>
        <w:t>缴存</w:t>
      </w:r>
      <w:r>
        <w:rPr>
          <w:rFonts w:hint="default" w:ascii="Times New Roman" w:hAnsi="Times New Roman" w:eastAsia="仿宋_GB2312" w:cs="Times New Roman"/>
          <w:color w:val="auto"/>
          <w:sz w:val="32"/>
        </w:rPr>
        <w:t>调整的单位，</w:t>
      </w:r>
      <w:r>
        <w:rPr>
          <w:rFonts w:hint="default" w:ascii="Times New Roman" w:hAnsi="Times New Roman" w:eastAsia="仿宋_GB2312" w:cs="Times New Roman"/>
          <w:color w:val="auto"/>
          <w:sz w:val="32"/>
          <w:shd w:val="clear" w:color="auto" w:fill="FFFFFF"/>
        </w:rPr>
        <w:t>须先办理年度缴存调整</w:t>
      </w:r>
      <w:r>
        <w:rPr>
          <w:rFonts w:hint="default" w:ascii="Times New Roman" w:hAnsi="Times New Roman" w:eastAsia="仿宋_GB2312" w:cs="Times New Roman"/>
          <w:color w:val="auto"/>
          <w:sz w:val="32"/>
          <w:shd w:val="clear" w:color="auto" w:fill="FFFFFF"/>
          <w:lang w:eastAsia="zh-CN"/>
        </w:rPr>
        <w:t>，</w:t>
      </w:r>
      <w:r>
        <w:rPr>
          <w:rFonts w:hint="default" w:ascii="Times New Roman" w:hAnsi="Times New Roman" w:eastAsia="仿宋_GB2312" w:cs="Times New Roman"/>
          <w:color w:val="auto"/>
          <w:sz w:val="32"/>
          <w:shd w:val="clear" w:color="auto" w:fill="FFFFFF"/>
          <w:lang w:val="en-US" w:eastAsia="zh-CN"/>
        </w:rPr>
        <w:t>再</w:t>
      </w:r>
      <w:r>
        <w:rPr>
          <w:rFonts w:hint="default" w:ascii="Times New Roman" w:hAnsi="Times New Roman" w:eastAsia="仿宋_GB2312" w:cs="Times New Roman"/>
          <w:color w:val="auto"/>
          <w:sz w:val="32"/>
          <w:shd w:val="clear" w:color="auto" w:fill="FFFFFF"/>
        </w:rPr>
        <w:t>办理汇、补缴业务</w:t>
      </w:r>
      <w:r>
        <w:rPr>
          <w:rFonts w:hint="default" w:ascii="Times New Roman" w:hAnsi="Times New Roman" w:eastAsia="仿宋_GB2312" w:cs="Times New Roman"/>
          <w:color w:val="auto"/>
          <w:sz w:val="32"/>
          <w:shd w:val="clear" w:color="auto" w:fill="FFFFFF"/>
          <w:lang w:eastAsia="zh-CN"/>
        </w:rPr>
        <w:t>。</w:t>
      </w:r>
      <w:r>
        <w:rPr>
          <w:rFonts w:hint="default" w:ascii="Times New Roman" w:hAnsi="Times New Roman" w:eastAsia="仿宋_GB2312" w:cs="Times New Roman"/>
          <w:color w:val="auto"/>
          <w:sz w:val="32"/>
          <w:lang w:val="en-US" w:eastAsia="zh-CN"/>
        </w:rPr>
        <w:t>各缴存单位</w:t>
      </w:r>
      <w:r>
        <w:rPr>
          <w:rFonts w:hint="default" w:ascii="Times New Roman" w:hAnsi="Times New Roman" w:eastAsia="仿宋_GB2312" w:cs="Times New Roman"/>
          <w:color w:val="auto"/>
          <w:sz w:val="32"/>
          <w:lang w:eastAsia="zh-CN"/>
        </w:rPr>
        <w:t>可通过</w:t>
      </w:r>
      <w:r>
        <w:rPr>
          <w:rFonts w:hint="default" w:ascii="Times New Roman" w:hAnsi="Times New Roman" w:eastAsia="仿宋_GB2312" w:cs="Times New Roman"/>
          <w:color w:val="auto"/>
          <w:sz w:val="32"/>
          <w:shd w:val="clear" w:color="auto" w:fill="FFFFFF"/>
          <w:lang w:val="en-US" w:eastAsia="zh-CN"/>
        </w:rPr>
        <w:t>网上办理或</w:t>
      </w:r>
      <w:r>
        <w:rPr>
          <w:rFonts w:hint="default" w:ascii="Times New Roman" w:hAnsi="Times New Roman" w:eastAsia="仿宋_GB2312" w:cs="Times New Roman"/>
          <w:color w:val="auto"/>
          <w:sz w:val="32"/>
          <w:shd w:val="clear" w:color="auto" w:fill="FFFFFF"/>
          <w:lang w:eastAsia="zh-CN"/>
        </w:rPr>
        <w:t>预</w:t>
      </w:r>
      <w:r>
        <w:rPr>
          <w:rFonts w:hint="default" w:ascii="Times New Roman" w:hAnsi="Times New Roman" w:eastAsia="仿宋_GB2312" w:cs="Times New Roman"/>
          <w:color w:val="auto"/>
          <w:sz w:val="32"/>
          <w:lang w:eastAsia="zh-CN"/>
        </w:rPr>
        <w:t>约</w:t>
      </w:r>
      <w:r>
        <w:rPr>
          <w:rFonts w:hint="default" w:ascii="Times New Roman" w:hAnsi="Times New Roman" w:eastAsia="仿宋_GB2312" w:cs="Times New Roman"/>
          <w:color w:val="auto"/>
          <w:sz w:val="32"/>
          <w:lang w:val="en-US" w:eastAsia="zh-CN"/>
        </w:rPr>
        <w:t>后</w:t>
      </w:r>
      <w:r>
        <w:rPr>
          <w:rFonts w:hint="default" w:ascii="Times New Roman" w:hAnsi="Times New Roman" w:eastAsia="仿宋_GB2312" w:cs="Times New Roman"/>
          <w:color w:val="auto"/>
          <w:sz w:val="32"/>
        </w:rPr>
        <w:t>到我中心广铁分中心或各办事处、管理部办理。</w:t>
      </w:r>
    </w:p>
    <w:p w14:paraId="35396658">
      <w:pPr>
        <w:snapToGrid w:val="0"/>
        <w:spacing w:line="560" w:lineRule="exact"/>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缴存单位已办理年度</w:t>
      </w:r>
      <w:r>
        <w:rPr>
          <w:rFonts w:hint="default" w:ascii="Times New Roman" w:hAnsi="Times New Roman" w:eastAsia="仿宋_GB2312" w:cs="Times New Roman"/>
          <w:color w:val="auto"/>
          <w:sz w:val="32"/>
          <w:lang w:eastAsia="zh-CN"/>
        </w:rPr>
        <w:t>缴存</w:t>
      </w:r>
      <w:r>
        <w:rPr>
          <w:rFonts w:hint="default" w:ascii="Times New Roman" w:hAnsi="Times New Roman" w:eastAsia="仿宋_GB2312" w:cs="Times New Roman"/>
          <w:color w:val="auto"/>
          <w:sz w:val="32"/>
        </w:rPr>
        <w:t>调整，</w:t>
      </w:r>
      <w:r>
        <w:rPr>
          <w:rFonts w:hint="default" w:ascii="Times New Roman" w:hAnsi="Times New Roman" w:eastAsia="仿宋_GB2312" w:cs="Times New Roman"/>
          <w:color w:val="auto"/>
          <w:sz w:val="32"/>
          <w:lang w:eastAsia="zh-CN"/>
        </w:rPr>
        <w:t>但</w:t>
      </w:r>
      <w:r>
        <w:rPr>
          <w:rFonts w:hint="default" w:ascii="Times New Roman" w:hAnsi="Times New Roman" w:eastAsia="仿宋_GB2312" w:cs="Times New Roman"/>
          <w:color w:val="auto"/>
          <w:sz w:val="32"/>
        </w:rPr>
        <w:t>因业务差错等原因需</w:t>
      </w:r>
      <w:r>
        <w:rPr>
          <w:rFonts w:hint="default" w:ascii="Times New Roman" w:hAnsi="Times New Roman" w:eastAsia="仿宋_GB2312" w:cs="Times New Roman"/>
          <w:color w:val="auto"/>
          <w:sz w:val="32"/>
          <w:lang w:eastAsia="zh-CN"/>
        </w:rPr>
        <w:t>纠错调整</w:t>
      </w:r>
      <w:r>
        <w:rPr>
          <w:rFonts w:hint="default" w:ascii="Times New Roman" w:hAnsi="Times New Roman" w:eastAsia="仿宋_GB2312" w:cs="Times New Roman"/>
          <w:color w:val="auto"/>
          <w:sz w:val="32"/>
        </w:rPr>
        <w:t>的，</w:t>
      </w:r>
      <w:r>
        <w:rPr>
          <w:rFonts w:hint="default" w:ascii="Times New Roman" w:hAnsi="Times New Roman" w:eastAsia="仿宋_GB2312" w:cs="Times New Roman"/>
          <w:color w:val="auto"/>
          <w:sz w:val="32"/>
          <w:lang w:eastAsia="zh-CN"/>
        </w:rPr>
        <w:t>须</w:t>
      </w:r>
      <w:r>
        <w:rPr>
          <w:rFonts w:hint="default" w:ascii="Times New Roman" w:hAnsi="Times New Roman" w:eastAsia="仿宋_GB2312" w:cs="Times New Roman"/>
          <w:color w:val="auto"/>
          <w:sz w:val="32"/>
        </w:rPr>
        <w:t>提交书面申请及相关材料</w:t>
      </w:r>
      <w:r>
        <w:rPr>
          <w:rFonts w:hint="default" w:ascii="Times New Roman" w:hAnsi="Times New Roman" w:eastAsia="仿宋_GB2312" w:cs="Times New Roman"/>
          <w:color w:val="auto"/>
          <w:sz w:val="32"/>
          <w:lang w:eastAsia="zh-CN"/>
        </w:rPr>
        <w:t>，预约</w:t>
      </w:r>
      <w:r>
        <w:rPr>
          <w:rFonts w:hint="default" w:ascii="Times New Roman" w:hAnsi="Times New Roman" w:eastAsia="仿宋_GB2312" w:cs="Times New Roman"/>
          <w:color w:val="auto"/>
          <w:sz w:val="32"/>
          <w:lang w:val="en-US" w:eastAsia="zh-CN"/>
        </w:rPr>
        <w:t>后</w:t>
      </w:r>
      <w:r>
        <w:rPr>
          <w:rFonts w:hint="default" w:ascii="Times New Roman" w:hAnsi="Times New Roman" w:eastAsia="仿宋_GB2312" w:cs="Times New Roman"/>
          <w:color w:val="auto"/>
          <w:sz w:val="32"/>
        </w:rPr>
        <w:t>到我中心广铁分中心或各办事处、管理部办理。</w:t>
      </w:r>
    </w:p>
    <w:p w14:paraId="1709F8DF">
      <w:pPr>
        <w:snapToGrid w:val="0"/>
        <w:spacing w:line="560" w:lineRule="exact"/>
        <w:ind w:firstLine="640" w:firstLineChars="200"/>
        <w:rPr>
          <w:rFonts w:hint="default" w:ascii="Times New Roman" w:hAnsi="Times New Roman" w:cs="Times New Roman"/>
          <w:color w:val="auto"/>
          <w:sz w:val="32"/>
        </w:rPr>
      </w:pPr>
      <w:r>
        <w:rPr>
          <w:rFonts w:hint="default" w:ascii="Times New Roman" w:hAnsi="Times New Roman" w:cs="Times New Roman"/>
          <w:color w:val="auto"/>
          <w:sz w:val="32"/>
          <w:lang w:val="en-US" w:eastAsia="zh-CN"/>
        </w:rPr>
        <w:t>4</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缴存基数、缴存比例、职工个人缴存部分免缴等</w:t>
      </w:r>
      <w:r>
        <w:rPr>
          <w:rFonts w:hint="default" w:ascii="Times New Roman" w:hAnsi="Times New Roman" w:eastAsia="仿宋_GB2312" w:cs="Times New Roman"/>
          <w:color w:val="auto"/>
          <w:sz w:val="32"/>
          <w:lang w:val="en-US" w:eastAsia="zh-CN"/>
        </w:rPr>
        <w:t>一经确定</w:t>
      </w:r>
      <w:r>
        <w:rPr>
          <w:rFonts w:hint="default" w:ascii="Times New Roman" w:hAnsi="Times New Roman" w:eastAsia="仿宋_GB2312" w:cs="Times New Roman"/>
          <w:color w:val="auto"/>
          <w:sz w:val="32"/>
        </w:rPr>
        <w:t>，原则上在一个缴存年度内不得变更。缴存单位须严格执行缴存基数和比例的上、下限规定，不得通过违规补缴等方式超限额缴存住房公积金。</w:t>
      </w:r>
    </w:p>
    <w:p w14:paraId="1D34EE73">
      <w:pPr>
        <w:snapToGrid w:val="0"/>
        <w:spacing w:line="560" w:lineRule="exact"/>
        <w:ind w:firstLine="640" w:firstLineChars="200"/>
        <w:rPr>
          <w:rFonts w:hint="default" w:ascii="Times New Roman" w:hAnsi="Times New Roman" w:eastAsia="黑体" w:cs="Times New Roman"/>
          <w:color w:val="auto"/>
          <w:sz w:val="32"/>
          <w:lang w:eastAsia="zh-CN"/>
        </w:rPr>
      </w:pPr>
      <w:r>
        <w:rPr>
          <w:rFonts w:hint="default" w:ascii="Times New Roman" w:hAnsi="Times New Roman" w:cs="Times New Roman"/>
          <w:color w:val="auto"/>
          <w:sz w:val="32"/>
          <w:lang w:val="en-US" w:eastAsia="zh-CN"/>
        </w:rPr>
        <w:t>5</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缴存单位在核定本单位职工的住房公积金缴存基数、比例及缴存额时，应明确告知职工本人，接受职工监督，保障职工合法权益。</w:t>
      </w:r>
    </w:p>
    <w:p w14:paraId="6E9503DB">
      <w:pPr>
        <w:snapToGrid w:val="0"/>
        <w:spacing w:line="560" w:lineRule="exact"/>
        <w:rPr>
          <w:rFonts w:hint="default" w:ascii="Times New Roman" w:hAnsi="Times New Roman" w:eastAsia="仿宋_GB2312" w:cs="Times New Roman"/>
          <w:color w:val="auto"/>
          <w:sz w:val="32"/>
          <w:lang w:val="en-US" w:eastAsia="zh-CN"/>
        </w:rPr>
      </w:pPr>
    </w:p>
    <w:p w14:paraId="0F02AC12">
      <w:pPr>
        <w:snapToGrid w:val="0"/>
        <w:spacing w:line="560" w:lineRule="exact"/>
        <w:ind w:firstLine="64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32"/>
          <w:lang w:val="en-US" w:eastAsia="zh-CN"/>
        </w:rPr>
        <w:t>附件：</w:t>
      </w:r>
      <w:r>
        <w:rPr>
          <w:rFonts w:hint="default" w:ascii="Times New Roman" w:hAnsi="Times New Roman" w:eastAsia="仿宋_GB2312" w:cs="Times New Roman"/>
          <w:color w:val="auto"/>
          <w:sz w:val="32"/>
          <w:lang w:val="zh-CN"/>
        </w:rPr>
        <w:t>住房公积金年度缴存调整批处理文件</w:t>
      </w:r>
      <w:r>
        <w:rPr>
          <w:rFonts w:hint="default" w:ascii="Times New Roman" w:hAnsi="Times New Roman" w:eastAsia="仿宋_GB2312" w:cs="Times New Roman"/>
          <w:color w:val="auto"/>
          <w:sz w:val="32"/>
          <w:lang w:val="en-US" w:eastAsia="zh-CN"/>
        </w:rPr>
        <w:t>及填写说明</w:t>
      </w:r>
    </w:p>
    <w:p w14:paraId="4F1E8B6E">
      <w:pPr>
        <w:snapToGrid w:val="0"/>
        <w:spacing w:line="560" w:lineRule="exact"/>
        <w:ind w:firstLine="3520" w:firstLineChars="1100"/>
        <w:rPr>
          <w:rFonts w:hint="default" w:ascii="Times New Roman" w:hAnsi="Times New Roman" w:eastAsia="仿宋_GB2312" w:cs="Times New Roman"/>
          <w:color w:val="auto"/>
          <w:sz w:val="32"/>
          <w:lang w:val="zh-CN" w:eastAsia="zh-CN"/>
        </w:rPr>
      </w:pPr>
    </w:p>
    <w:p w14:paraId="16AB31F1">
      <w:pPr>
        <w:snapToGrid w:val="0"/>
        <w:spacing w:line="560" w:lineRule="exact"/>
        <w:ind w:firstLine="3520" w:firstLineChars="1100"/>
        <w:rPr>
          <w:rFonts w:hint="default" w:ascii="Times New Roman" w:hAnsi="Times New Roman" w:eastAsia="仿宋_GB2312" w:cs="Times New Roman"/>
          <w:color w:val="auto"/>
          <w:sz w:val="32"/>
          <w:lang w:val="zh-CN" w:eastAsia="zh-CN"/>
        </w:rPr>
      </w:pPr>
    </w:p>
    <w:p w14:paraId="65C5E57F">
      <w:pPr>
        <w:snapToGrid w:val="0"/>
        <w:spacing w:line="560" w:lineRule="exact"/>
        <w:ind w:firstLine="3520" w:firstLineChars="1100"/>
        <w:rPr>
          <w:rFonts w:hint="default" w:ascii="Times New Roman" w:hAnsi="Times New Roman" w:eastAsia="仿宋_GB2312" w:cs="Times New Roman"/>
          <w:color w:val="auto"/>
          <w:sz w:val="32"/>
          <w:lang w:val="zh-CN" w:eastAsia="zh-CN"/>
        </w:rPr>
      </w:pPr>
    </w:p>
    <w:p w14:paraId="789310B1">
      <w:pPr>
        <w:wordWrap w:val="0"/>
        <w:snapToGrid w:val="0"/>
        <w:spacing w:line="560" w:lineRule="exact"/>
        <w:ind w:firstLine="4000" w:firstLineChars="1250"/>
        <w:jc w:val="right"/>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zh-CN" w:eastAsia="zh-CN"/>
        </w:rPr>
        <w:t>广州住房公积金管理中心</w:t>
      </w:r>
      <w:r>
        <w:rPr>
          <w:rFonts w:hint="default" w:ascii="Times New Roman" w:hAnsi="Times New Roman" w:eastAsia="仿宋_GB2312" w:cs="Times New Roman"/>
          <w:color w:val="auto"/>
          <w:sz w:val="32"/>
          <w:lang w:val="en-US" w:eastAsia="zh-CN"/>
        </w:rPr>
        <w:t xml:space="preserve">    </w:t>
      </w:r>
    </w:p>
    <w:p w14:paraId="3D7E7E2C">
      <w:pPr>
        <w:wordWrap w:val="0"/>
        <w:snapToGrid w:val="0"/>
        <w:spacing w:line="560" w:lineRule="exact"/>
        <w:ind w:firstLine="4160" w:firstLineChars="1300"/>
        <w:jc w:val="right"/>
        <w:rPr>
          <w:rFonts w:hint="default" w:ascii="Times New Roman" w:hAnsi="Times New Roman" w:eastAsia="黑体" w:cs="Times New Roman"/>
          <w:color w:val="0000FF"/>
          <w:sz w:val="32"/>
          <w:lang w:val="en-US" w:eastAsia="zh-CN"/>
        </w:rPr>
      </w:pPr>
      <w:r>
        <w:rPr>
          <w:rFonts w:hint="default" w:ascii="Times New Roman" w:hAnsi="Times New Roman" w:cs="Times New Roman"/>
          <w:color w:val="auto"/>
          <w:sz w:val="32"/>
          <w:lang w:val="en-US" w:eastAsia="zh-CN"/>
        </w:rPr>
        <w:t>2026</w:t>
      </w:r>
      <w:r>
        <w:rPr>
          <w:rFonts w:hint="default" w:ascii="Times New Roman" w:hAnsi="Times New Roman" w:eastAsia="仿宋_GB2312" w:cs="Times New Roman"/>
          <w:color w:val="auto"/>
          <w:sz w:val="32"/>
          <w:lang w:val="en-US" w:eastAsia="zh-CN"/>
        </w:rPr>
        <w:t>年</w:t>
      </w:r>
      <w:r>
        <w:rPr>
          <w:rFonts w:hint="eastAsia"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lang w:val="en-US" w:eastAsia="zh-CN"/>
        </w:rPr>
        <w:t>月</w:t>
      </w:r>
      <w:r>
        <w:rPr>
          <w:rFonts w:hint="eastAsia" w:ascii="Times New Roman" w:hAnsi="Times New Roman" w:eastAsia="仿宋_GB2312" w:cs="Times New Roman"/>
          <w:color w:val="auto"/>
          <w:sz w:val="32"/>
          <w:lang w:val="en-US" w:eastAsia="zh-CN"/>
        </w:rPr>
        <w:t>30</w:t>
      </w:r>
      <w:r>
        <w:rPr>
          <w:rFonts w:hint="default" w:ascii="Times New Roman" w:hAnsi="Times New Roman" w:eastAsia="仿宋_GB2312" w:cs="Times New Roman"/>
          <w:color w:val="auto"/>
          <w:sz w:val="32"/>
          <w:lang w:val="en-US" w:eastAsia="zh-CN"/>
        </w:rPr>
        <w:t xml:space="preserve">日        </w:t>
      </w:r>
    </w:p>
    <w:p w14:paraId="2B317091">
      <w:pPr>
        <w:snapToGrid w:val="0"/>
        <w:spacing w:line="600" w:lineRule="exact"/>
        <w:rPr>
          <w:rFonts w:hint="default" w:ascii="Times New Roman" w:hAnsi="Times New Roman" w:eastAsia="黑体" w:cs="Times New Roman"/>
          <w:color w:val="0000FF"/>
          <w:sz w:val="32"/>
          <w:lang w:val="en-US" w:eastAsia="zh-CN"/>
        </w:rPr>
      </w:pPr>
    </w:p>
    <w:p w14:paraId="396A0693">
      <w:pPr>
        <w:ind w:left="200" w:firstLine="2880" w:firstLineChars="1200"/>
        <w:jc w:val="left"/>
        <w:rPr>
          <w:rFonts w:hint="default" w:ascii="Times New Roman" w:hAnsi="Times New Roman" w:cs="Times New Roman"/>
          <w:color w:val="auto"/>
          <w:sz w:val="24"/>
        </w:rPr>
      </w:pP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INCLUDEPICTURE \d "C:\\Users\\Administrator\\AppData\\Roaming\\feiq\\RichOle\\3781717073.bmp" \* MERGEFORMATINET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pict>
          <v:shape id="_x0000_i1025" o:spt="75" alt="IMG_256" type="#_x0000_t75" style="height:118.1pt;width:118.1pt;" filled="f" o:preferrelative="t" stroked="f" coordsize="21600,21600">
            <v:path/>
            <v:fill on="f" focussize="0,0"/>
            <v:stroke on="f"/>
            <v:imagedata r:id="rId4" o:title="IMG_256"/>
            <o:lock v:ext="edit" aspectratio="t"/>
            <w10:wrap type="none"/>
            <w10:anchorlock/>
          </v:shape>
        </w:pict>
      </w:r>
      <w:r>
        <w:rPr>
          <w:rFonts w:hint="default" w:ascii="Times New Roman" w:hAnsi="Times New Roman" w:eastAsia="宋体" w:cs="Times New Roman"/>
          <w:color w:val="auto"/>
          <w:sz w:val="24"/>
        </w:rPr>
        <w:fldChar w:fldCharType="end"/>
      </w:r>
      <w:bookmarkStart w:id="0" w:name="_GoBack"/>
      <w:bookmarkEnd w:id="0"/>
    </w:p>
    <w:p w14:paraId="665118C3">
      <w:pPr>
        <w:ind w:left="200" w:firstLine="1800" w:firstLineChars="600"/>
        <w:jc w:val="left"/>
        <w:rPr>
          <w:rFonts w:hint="default" w:ascii="Times New Roman" w:hAnsi="Times New Roman" w:eastAsia="仿宋_GB2312" w:cs="Times New Roman"/>
          <w:color w:val="auto"/>
          <w:sz w:val="30"/>
          <w:lang w:val="zh-CN"/>
        </w:rPr>
      </w:pPr>
      <w:r>
        <w:rPr>
          <w:rFonts w:hint="default" w:ascii="Times New Roman" w:hAnsi="Times New Roman" w:eastAsia="仿宋_GB2312" w:cs="Times New Roman"/>
          <w:color w:val="auto"/>
          <w:sz w:val="30"/>
          <w:lang w:eastAsia="zh-CN"/>
        </w:rPr>
        <w:t>广州住房公积金管理中心微信</w:t>
      </w:r>
      <w:r>
        <w:rPr>
          <w:rFonts w:hint="eastAsia" w:ascii="Times New Roman" w:hAnsi="Times New Roman" w:eastAsia="仿宋_GB2312" w:cs="Times New Roman"/>
          <w:color w:val="auto"/>
          <w:sz w:val="30"/>
          <w:lang w:val="en-US" w:eastAsia="zh-CN"/>
        </w:rPr>
        <w:t>服务</w:t>
      </w:r>
      <w:r>
        <w:rPr>
          <w:rFonts w:hint="default" w:ascii="Times New Roman" w:hAnsi="Times New Roman" w:eastAsia="仿宋_GB2312" w:cs="Times New Roman"/>
          <w:color w:val="auto"/>
          <w:sz w:val="30"/>
          <w:lang w:eastAsia="zh-CN"/>
        </w:rPr>
        <w:t>号</w:t>
      </w:r>
    </w:p>
    <w:p w14:paraId="5B4995C2">
      <w:pPr>
        <w:ind w:firstLine="600" w:firstLineChars="200"/>
        <w:jc w:val="left"/>
        <w:rPr>
          <w:rFonts w:hint="default" w:ascii="Times New Roman" w:hAnsi="Times New Roman" w:eastAsia="仿宋_GB2312" w:cs="Times New Roman"/>
          <w:color w:val="auto"/>
          <w:sz w:val="30"/>
          <w:lang w:val="en-US" w:eastAsia="zh-CN"/>
        </w:rPr>
      </w:pPr>
      <w:r>
        <w:rPr>
          <w:rFonts w:hint="default" w:ascii="Times New Roman" w:hAnsi="Times New Roman" w:eastAsia="仿宋_GB2312" w:cs="Times New Roman"/>
          <w:color w:val="auto"/>
          <w:sz w:val="30"/>
          <w:lang w:val="zh-CN"/>
        </w:rPr>
        <w:t>中心网址：</w:t>
      </w:r>
      <w:r>
        <w:rPr>
          <w:rFonts w:hint="default" w:ascii="Times New Roman" w:hAnsi="Times New Roman" w:eastAsia="仿宋_GB2312" w:cs="Times New Roman"/>
          <w:color w:val="auto"/>
          <w:sz w:val="30"/>
          <w:lang w:val="en-US" w:eastAsia="zh-CN"/>
        </w:rPr>
        <w:t>http://</w:t>
      </w:r>
      <w:r>
        <w:rPr>
          <w:rFonts w:hint="default" w:ascii="Times New Roman" w:hAnsi="Times New Roman" w:eastAsia="仿宋_GB2312" w:cs="Times New Roman"/>
          <w:color w:val="auto"/>
          <w:sz w:val="30"/>
          <w:lang w:val="zh-CN"/>
        </w:rPr>
        <w:t>gjj.gz.gov.cn</w:t>
      </w:r>
      <w:r>
        <w:rPr>
          <w:rFonts w:hint="default" w:ascii="Times New Roman" w:hAnsi="Times New Roman" w:eastAsia="仿宋_GB2312" w:cs="Times New Roman"/>
          <w:color w:val="auto"/>
          <w:sz w:val="30"/>
          <w:lang w:val="en-US" w:eastAsia="zh-CN"/>
        </w:rPr>
        <w:t>/</w:t>
      </w:r>
    </w:p>
    <w:p w14:paraId="2C88B075">
      <w:pPr>
        <w:ind w:firstLine="600" w:firstLineChars="200"/>
        <w:jc w:val="left"/>
        <w:rPr>
          <w:rFonts w:hint="default" w:ascii="Times New Roman" w:hAnsi="Times New Roman" w:eastAsia="仿宋_GB2312" w:cs="Times New Roman"/>
          <w:color w:val="auto"/>
          <w:sz w:val="30"/>
          <w:lang w:val="zh-CN"/>
        </w:rPr>
      </w:pPr>
      <w:r>
        <w:rPr>
          <w:rFonts w:hint="default" w:ascii="Times New Roman" w:hAnsi="Times New Roman" w:eastAsia="仿宋_GB2312" w:cs="Times New Roman"/>
          <w:color w:val="auto"/>
          <w:sz w:val="30"/>
          <w:lang w:val="zh-CN"/>
        </w:rPr>
        <w:t>服务热线：12345</w:t>
      </w:r>
    </w:p>
    <w:p w14:paraId="549DED19">
      <w:pPr>
        <w:snapToGrid w:val="0"/>
        <w:spacing w:line="600" w:lineRule="exact"/>
        <w:rPr>
          <w:rFonts w:hint="default" w:ascii="Times New Roman" w:hAnsi="Times New Roman" w:eastAsia="黑体" w:cs="Times New Roman"/>
          <w:color w:val="auto"/>
          <w:sz w:val="32"/>
          <w:lang w:val="en-US" w:eastAsia="zh-CN"/>
        </w:rPr>
      </w:pPr>
      <w:r>
        <w:rPr>
          <w:rFonts w:hint="default" w:ascii="Times New Roman" w:hAnsi="Times New Roman" w:eastAsia="仿宋_GB2312" w:cs="Times New Roman"/>
          <w:color w:val="auto"/>
          <w:sz w:val="30"/>
          <w:lang w:val="zh-CN"/>
        </w:rPr>
        <w:br w:type="page"/>
      </w:r>
      <w:r>
        <w:rPr>
          <w:rFonts w:hint="default" w:ascii="Times New Roman" w:hAnsi="Times New Roman" w:eastAsia="黑体" w:cs="Times New Roman"/>
          <w:color w:val="auto"/>
          <w:sz w:val="32"/>
          <w:lang w:val="en-US" w:eastAsia="zh-CN"/>
        </w:rPr>
        <w:t>附件</w:t>
      </w:r>
    </w:p>
    <w:p w14:paraId="5D20D6D3">
      <w:pPr>
        <w:snapToGrid w:val="0"/>
        <w:spacing w:line="600" w:lineRule="exact"/>
        <w:rPr>
          <w:rFonts w:hint="default" w:ascii="Times New Roman" w:hAnsi="Times New Roman" w:eastAsia="黑体" w:cs="Times New Roman"/>
          <w:color w:val="auto"/>
          <w:sz w:val="32"/>
        </w:rPr>
      </w:pPr>
    </w:p>
    <w:tbl>
      <w:tblPr>
        <w:tblStyle w:val="2"/>
        <w:tblW w:w="9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8"/>
        <w:gridCol w:w="1192"/>
        <w:gridCol w:w="1540"/>
        <w:gridCol w:w="1120"/>
        <w:gridCol w:w="1180"/>
        <w:gridCol w:w="1120"/>
        <w:gridCol w:w="1180"/>
        <w:gridCol w:w="1480"/>
      </w:tblGrid>
      <w:tr w14:paraId="4AAFF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9880" w:type="dxa"/>
            <w:gridSpan w:val="8"/>
            <w:tcBorders>
              <w:top w:val="nil"/>
              <w:left w:val="nil"/>
              <w:bottom w:val="single" w:color="auto" w:sz="4" w:space="0"/>
              <w:right w:val="nil"/>
              <w:tl2br w:val="nil"/>
              <w:tr2bl w:val="nil"/>
            </w:tcBorders>
            <w:noWrap w:val="0"/>
            <w:vAlign w:val="center"/>
          </w:tcPr>
          <w:p w14:paraId="12575E4A">
            <w:pPr>
              <w:snapToGrid w:val="0"/>
              <w:spacing w:line="600" w:lineRule="exact"/>
              <w:jc w:val="center"/>
              <w:rPr>
                <w:rFonts w:hint="default" w:ascii="Times New Roman" w:hAnsi="Times New Roman" w:eastAsia="方正小标宋_GBK" w:cs="Times New Roman"/>
                <w:color w:val="auto"/>
                <w:kern w:val="0"/>
                <w:sz w:val="44"/>
                <w:lang w:eastAsia="zh-CN"/>
              </w:rPr>
            </w:pPr>
            <w:r>
              <w:rPr>
                <w:rFonts w:hint="default" w:ascii="Times New Roman" w:hAnsi="Times New Roman" w:eastAsia="方正小标宋_GBK" w:cs="Times New Roman"/>
                <w:color w:val="auto"/>
                <w:kern w:val="0"/>
                <w:sz w:val="44"/>
              </w:rPr>
              <w:t>住房公积金年度缴存调整批处理</w:t>
            </w:r>
            <w:r>
              <w:rPr>
                <w:rFonts w:hint="default" w:ascii="Times New Roman" w:hAnsi="Times New Roman" w:eastAsia="方正小标宋_GBK" w:cs="Times New Roman"/>
                <w:color w:val="auto"/>
                <w:kern w:val="0"/>
                <w:sz w:val="44"/>
                <w:lang w:eastAsia="zh-CN"/>
              </w:rPr>
              <w:t>文件</w:t>
            </w:r>
          </w:p>
        </w:tc>
      </w:tr>
      <w:tr w14:paraId="4D0A0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1068" w:type="dxa"/>
            <w:tcBorders>
              <w:top w:val="nil"/>
              <w:left w:val="single" w:color="auto" w:sz="4" w:space="0"/>
              <w:bottom w:val="single" w:color="auto" w:sz="4" w:space="0"/>
              <w:right w:val="single" w:color="auto" w:sz="4" w:space="0"/>
              <w:tl2br w:val="nil"/>
              <w:tr2bl w:val="nil"/>
            </w:tcBorders>
            <w:noWrap w:val="0"/>
            <w:vAlign w:val="center"/>
          </w:tcPr>
          <w:p w14:paraId="2D3E7C3F">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单位账号</w:t>
            </w:r>
          </w:p>
        </w:tc>
        <w:tc>
          <w:tcPr>
            <w:tcW w:w="1192" w:type="dxa"/>
            <w:tcBorders>
              <w:top w:val="nil"/>
              <w:left w:val="nil"/>
              <w:bottom w:val="single" w:color="auto" w:sz="4" w:space="0"/>
              <w:right w:val="single" w:color="auto" w:sz="4" w:space="0"/>
              <w:tl2br w:val="nil"/>
              <w:tr2bl w:val="nil"/>
            </w:tcBorders>
            <w:noWrap w:val="0"/>
            <w:vAlign w:val="center"/>
          </w:tcPr>
          <w:p w14:paraId="7556547D">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启用年月</w:t>
            </w:r>
          </w:p>
        </w:tc>
        <w:tc>
          <w:tcPr>
            <w:tcW w:w="1540" w:type="dxa"/>
            <w:tcBorders>
              <w:top w:val="nil"/>
              <w:left w:val="nil"/>
              <w:bottom w:val="single" w:color="auto" w:sz="4" w:space="0"/>
              <w:right w:val="single" w:color="auto" w:sz="4" w:space="0"/>
              <w:tl2br w:val="nil"/>
              <w:tr2bl w:val="nil"/>
            </w:tcBorders>
            <w:noWrap w:val="0"/>
            <w:vAlign w:val="center"/>
          </w:tcPr>
          <w:p w14:paraId="6FC0892F">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调整职工人数</w:t>
            </w:r>
          </w:p>
        </w:tc>
        <w:tc>
          <w:tcPr>
            <w:tcW w:w="2300" w:type="dxa"/>
            <w:gridSpan w:val="2"/>
            <w:tcBorders>
              <w:top w:val="single" w:color="auto" w:sz="4" w:space="0"/>
              <w:left w:val="nil"/>
              <w:bottom w:val="single" w:color="auto" w:sz="4" w:space="0"/>
              <w:right w:val="single" w:color="auto" w:sz="4" w:space="0"/>
              <w:tl2br w:val="nil"/>
              <w:tr2bl w:val="nil"/>
            </w:tcBorders>
            <w:noWrap w:val="0"/>
            <w:vAlign w:val="center"/>
          </w:tcPr>
          <w:p w14:paraId="00CC391B">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调整后月缴存额（合计）</w:t>
            </w:r>
          </w:p>
        </w:tc>
        <w:tc>
          <w:tcPr>
            <w:tcW w:w="3780" w:type="dxa"/>
            <w:gridSpan w:val="3"/>
            <w:tcBorders>
              <w:top w:val="single" w:color="auto" w:sz="4" w:space="0"/>
              <w:left w:val="nil"/>
              <w:bottom w:val="single" w:color="auto" w:sz="4" w:space="0"/>
              <w:right w:val="single" w:color="auto" w:sz="4" w:space="0"/>
              <w:tl2br w:val="nil"/>
              <w:tr2bl w:val="nil"/>
            </w:tcBorders>
            <w:noWrap w:val="0"/>
            <w:vAlign w:val="center"/>
          </w:tcPr>
          <w:p w14:paraId="2A9A9F44">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单位名称</w:t>
            </w:r>
          </w:p>
        </w:tc>
      </w:tr>
      <w:tr w14:paraId="246D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68" w:type="dxa"/>
            <w:tcBorders>
              <w:top w:val="nil"/>
              <w:left w:val="single" w:color="auto" w:sz="4" w:space="0"/>
              <w:bottom w:val="single" w:color="auto" w:sz="4" w:space="0"/>
              <w:right w:val="single" w:color="auto" w:sz="4" w:space="0"/>
              <w:tl2br w:val="nil"/>
              <w:tr2bl w:val="nil"/>
            </w:tcBorders>
            <w:noWrap w:val="0"/>
            <w:vAlign w:val="center"/>
          </w:tcPr>
          <w:p w14:paraId="53431BFF">
            <w:pPr>
              <w:snapToGrid w:val="0"/>
              <w:spacing w:line="240" w:lineRule="atLeas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0"/>
            <w:vAlign w:val="center"/>
          </w:tcPr>
          <w:p w14:paraId="2465CB9C">
            <w:pPr>
              <w:snapToGrid w:val="0"/>
              <w:spacing w:line="240" w:lineRule="atLeas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0"/>
            <w:vAlign w:val="center"/>
          </w:tcPr>
          <w:p w14:paraId="5EF50B7B">
            <w:pPr>
              <w:snapToGrid w:val="0"/>
              <w:spacing w:line="240" w:lineRule="atLeas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2300" w:type="dxa"/>
            <w:gridSpan w:val="2"/>
            <w:tcBorders>
              <w:top w:val="single" w:color="auto" w:sz="4" w:space="0"/>
              <w:left w:val="nil"/>
              <w:bottom w:val="single" w:color="auto" w:sz="4" w:space="0"/>
              <w:right w:val="single" w:color="auto" w:sz="4" w:space="0"/>
              <w:tl2br w:val="nil"/>
              <w:tr2bl w:val="nil"/>
            </w:tcBorders>
            <w:noWrap w:val="0"/>
            <w:vAlign w:val="center"/>
          </w:tcPr>
          <w:p w14:paraId="052243C3">
            <w:pPr>
              <w:snapToGrid w:val="0"/>
              <w:spacing w:line="240" w:lineRule="atLeas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3780" w:type="dxa"/>
            <w:gridSpan w:val="3"/>
            <w:tcBorders>
              <w:top w:val="single" w:color="auto" w:sz="4" w:space="0"/>
              <w:left w:val="nil"/>
              <w:bottom w:val="single" w:color="auto" w:sz="4" w:space="0"/>
              <w:right w:val="single" w:color="auto" w:sz="4" w:space="0"/>
              <w:tl2br w:val="nil"/>
              <w:tr2bl w:val="nil"/>
            </w:tcBorders>
            <w:noWrap w:val="0"/>
            <w:vAlign w:val="center"/>
          </w:tcPr>
          <w:p w14:paraId="5CD3941E">
            <w:pPr>
              <w:snapToGrid w:val="0"/>
              <w:spacing w:line="240" w:lineRule="atLeas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2C658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068" w:type="dxa"/>
            <w:tcBorders>
              <w:top w:val="nil"/>
              <w:left w:val="single" w:color="auto" w:sz="4" w:space="0"/>
              <w:bottom w:val="single" w:color="auto" w:sz="4" w:space="0"/>
              <w:right w:val="single" w:color="auto" w:sz="4" w:space="0"/>
              <w:tl2br w:val="nil"/>
              <w:tr2bl w:val="nil"/>
            </w:tcBorders>
            <w:noWrap w:val="0"/>
            <w:vAlign w:val="center"/>
          </w:tcPr>
          <w:p w14:paraId="1824DD70">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姓名</w:t>
            </w:r>
          </w:p>
        </w:tc>
        <w:tc>
          <w:tcPr>
            <w:tcW w:w="1192" w:type="dxa"/>
            <w:tcBorders>
              <w:top w:val="nil"/>
              <w:left w:val="nil"/>
              <w:bottom w:val="single" w:color="auto" w:sz="4" w:space="0"/>
              <w:right w:val="single" w:color="auto" w:sz="4" w:space="0"/>
              <w:tl2br w:val="nil"/>
              <w:tr2bl w:val="nil"/>
            </w:tcBorders>
            <w:noWrap w:val="0"/>
            <w:vAlign w:val="center"/>
          </w:tcPr>
          <w:p w14:paraId="46A028B6">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证件号码</w:t>
            </w:r>
          </w:p>
        </w:tc>
        <w:tc>
          <w:tcPr>
            <w:tcW w:w="1540" w:type="dxa"/>
            <w:tcBorders>
              <w:top w:val="nil"/>
              <w:left w:val="nil"/>
              <w:bottom w:val="single" w:color="auto" w:sz="4" w:space="0"/>
              <w:right w:val="single" w:color="auto" w:sz="4" w:space="0"/>
              <w:tl2br w:val="nil"/>
              <w:tr2bl w:val="nil"/>
            </w:tcBorders>
            <w:noWrap w:val="0"/>
            <w:vAlign w:val="center"/>
          </w:tcPr>
          <w:p w14:paraId="6AA03205">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上年度月均</w:t>
            </w:r>
            <w:r>
              <w:rPr>
                <w:rFonts w:hint="default" w:ascii="Times New Roman" w:hAnsi="Times New Roman" w:eastAsia="微软雅黑" w:cs="Times New Roman"/>
                <w:color w:val="auto"/>
                <w:kern w:val="0"/>
                <w:sz w:val="20"/>
              </w:rPr>
              <w:br w:type="textWrapping"/>
            </w:r>
            <w:r>
              <w:rPr>
                <w:rFonts w:hint="default" w:ascii="Times New Roman" w:hAnsi="Times New Roman" w:eastAsia="微软雅黑" w:cs="Times New Roman"/>
                <w:color w:val="auto"/>
                <w:kern w:val="0"/>
                <w:sz w:val="20"/>
              </w:rPr>
              <w:t>工资</w:t>
            </w:r>
          </w:p>
        </w:tc>
        <w:tc>
          <w:tcPr>
            <w:tcW w:w="1120" w:type="dxa"/>
            <w:tcBorders>
              <w:top w:val="nil"/>
              <w:left w:val="nil"/>
              <w:bottom w:val="single" w:color="auto" w:sz="4" w:space="0"/>
              <w:right w:val="single" w:color="auto" w:sz="4" w:space="0"/>
              <w:tl2br w:val="nil"/>
              <w:tr2bl w:val="nil"/>
            </w:tcBorders>
            <w:noWrap w:val="0"/>
            <w:vAlign w:val="center"/>
          </w:tcPr>
          <w:p w14:paraId="3F6C1D77">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缴存基数</w:t>
            </w:r>
          </w:p>
        </w:tc>
        <w:tc>
          <w:tcPr>
            <w:tcW w:w="1180" w:type="dxa"/>
            <w:tcBorders>
              <w:top w:val="nil"/>
              <w:left w:val="nil"/>
              <w:bottom w:val="single" w:color="auto" w:sz="4" w:space="0"/>
              <w:right w:val="single" w:color="auto" w:sz="4" w:space="0"/>
              <w:tl2br w:val="nil"/>
              <w:tr2bl w:val="nil"/>
            </w:tcBorders>
            <w:noWrap w:val="0"/>
            <w:vAlign w:val="center"/>
          </w:tcPr>
          <w:p w14:paraId="2B3DF406">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单位缴存比例%</w:t>
            </w:r>
          </w:p>
        </w:tc>
        <w:tc>
          <w:tcPr>
            <w:tcW w:w="1120" w:type="dxa"/>
            <w:tcBorders>
              <w:top w:val="nil"/>
              <w:left w:val="nil"/>
              <w:bottom w:val="single" w:color="auto" w:sz="4" w:space="0"/>
              <w:right w:val="single" w:color="auto" w:sz="4" w:space="0"/>
              <w:tl2br w:val="nil"/>
              <w:tr2bl w:val="nil"/>
            </w:tcBorders>
            <w:noWrap w:val="0"/>
            <w:vAlign w:val="center"/>
          </w:tcPr>
          <w:p w14:paraId="59BC99B3">
            <w:pPr>
              <w:snapToGrid w:val="0"/>
              <w:spacing w:line="240" w:lineRule="atLeast"/>
              <w:jc w:val="center"/>
              <w:rPr>
                <w:rFonts w:hint="default" w:ascii="Times New Roman" w:hAnsi="Times New Roman" w:cs="Times New Roman"/>
                <w:color w:val="auto"/>
                <w:kern w:val="0"/>
                <w:sz w:val="20"/>
              </w:rPr>
            </w:pPr>
            <w:r>
              <w:rPr>
                <w:rFonts w:hint="default" w:ascii="Times New Roman" w:hAnsi="Times New Roman" w:eastAsia="微软雅黑" w:cs="Times New Roman"/>
                <w:color w:val="auto"/>
                <w:kern w:val="0"/>
                <w:sz w:val="20"/>
              </w:rPr>
              <w:t>个人</w:t>
            </w:r>
          </w:p>
          <w:p w14:paraId="622FC0BD">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缴存比例%</w:t>
            </w:r>
          </w:p>
        </w:tc>
        <w:tc>
          <w:tcPr>
            <w:tcW w:w="1180" w:type="dxa"/>
            <w:tcBorders>
              <w:top w:val="nil"/>
              <w:left w:val="nil"/>
              <w:bottom w:val="single" w:color="auto" w:sz="4" w:space="0"/>
              <w:right w:val="single" w:color="auto" w:sz="4" w:space="0"/>
              <w:tl2br w:val="nil"/>
              <w:tr2bl w:val="nil"/>
            </w:tcBorders>
            <w:noWrap w:val="0"/>
            <w:vAlign w:val="center"/>
          </w:tcPr>
          <w:p w14:paraId="50D3771A">
            <w:pPr>
              <w:snapToGrid w:val="0"/>
              <w:spacing w:line="240" w:lineRule="atLeast"/>
              <w:jc w:val="center"/>
              <w:rPr>
                <w:rFonts w:hint="default" w:ascii="Times New Roman" w:hAnsi="Times New Roman" w:cs="Times New Roman"/>
                <w:color w:val="auto"/>
                <w:kern w:val="0"/>
                <w:sz w:val="20"/>
              </w:rPr>
            </w:pPr>
            <w:r>
              <w:rPr>
                <w:rFonts w:hint="default" w:ascii="Times New Roman" w:hAnsi="Times New Roman" w:eastAsia="微软雅黑" w:cs="Times New Roman"/>
                <w:color w:val="auto"/>
                <w:kern w:val="0"/>
                <w:sz w:val="20"/>
              </w:rPr>
              <w:t>单位</w:t>
            </w:r>
          </w:p>
          <w:p w14:paraId="1CD33670">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缴存额</w:t>
            </w:r>
          </w:p>
        </w:tc>
        <w:tc>
          <w:tcPr>
            <w:tcW w:w="1480" w:type="dxa"/>
            <w:tcBorders>
              <w:top w:val="nil"/>
              <w:left w:val="nil"/>
              <w:bottom w:val="single" w:color="auto" w:sz="4" w:space="0"/>
              <w:right w:val="single" w:color="auto" w:sz="4" w:space="0"/>
              <w:tl2br w:val="nil"/>
              <w:tr2bl w:val="nil"/>
            </w:tcBorders>
            <w:noWrap w:val="0"/>
            <w:vAlign w:val="center"/>
          </w:tcPr>
          <w:p w14:paraId="332AE308">
            <w:pPr>
              <w:snapToGrid w:val="0"/>
              <w:spacing w:line="240" w:lineRule="atLeast"/>
              <w:jc w:val="center"/>
              <w:rPr>
                <w:rFonts w:hint="default" w:ascii="Times New Roman" w:hAnsi="Times New Roman" w:eastAsia="微软雅黑" w:cs="Times New Roman"/>
                <w:color w:val="auto"/>
                <w:kern w:val="0"/>
                <w:sz w:val="20"/>
              </w:rPr>
            </w:pPr>
            <w:r>
              <w:rPr>
                <w:rFonts w:hint="default" w:ascii="Times New Roman" w:hAnsi="Times New Roman" w:eastAsia="微软雅黑" w:cs="Times New Roman"/>
                <w:color w:val="auto"/>
                <w:kern w:val="0"/>
                <w:sz w:val="20"/>
              </w:rPr>
              <w:t>个人缴存额</w:t>
            </w:r>
          </w:p>
        </w:tc>
      </w:tr>
      <w:tr w14:paraId="5DADA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684CC470">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1FB778CC">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24B3DD1C">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74D3BA9F">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5C1FF70A">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087B0C3C">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25F379DB">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034887BE">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7F988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182967F4">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6601B824">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0CE5430D">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06FF37F8">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65326586">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7533DEB4">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3C1675BB">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7ABC8E46">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3F32E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60A7479D">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2E98D2F4">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66671069">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4F1D22D9">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15278FF1">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3FC7A5CE">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40AF1E8B">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1DB2B0E9">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43D18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30C92620">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77B19B06">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700D845E">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798BAE89">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68D4A483">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7CE5422D">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173C3B89">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5957CED6">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2AB4B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4A01BB30">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0350BA82">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232D0C7C">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11DDB2D1">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06640BEA">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077E4F4A">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6305CB3E">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7F0329D3">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7E61E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12C4614F">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46AE344C">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4A1BC07A">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23B6DA5E">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2379071C">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5634D9B6">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1AB4FE2D">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7DA2D45D">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3FDD3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71641528">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5B3C0230">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00FEBD52">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35B2249B">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397DC495">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346CC093">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3926A2DB">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7D7BF6F9">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093E2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3F76390D">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4D6BE896">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1CFF85EA">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4DB3D91F">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247B24B5">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17CFCDFD">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0A69D685">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34566698">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6D93A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13974E36">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3D4C1125">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55BF38E2">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458D7350">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1D7C2547">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1809251C">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79DF0820">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683726F4">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5FAFB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284DE6BB">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633A1172">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2563F738">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23549708">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09169DFA">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0D40690F">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5BA82315">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09F23321">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r w14:paraId="00FAB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68" w:type="dxa"/>
            <w:tcBorders>
              <w:top w:val="nil"/>
              <w:left w:val="single" w:color="auto" w:sz="4" w:space="0"/>
              <w:bottom w:val="single" w:color="auto" w:sz="4" w:space="0"/>
              <w:right w:val="single" w:color="auto" w:sz="4" w:space="0"/>
              <w:tl2br w:val="nil"/>
              <w:tr2bl w:val="nil"/>
            </w:tcBorders>
            <w:noWrap/>
            <w:vAlign w:val="center"/>
          </w:tcPr>
          <w:p w14:paraId="3297EC2D">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92" w:type="dxa"/>
            <w:tcBorders>
              <w:top w:val="nil"/>
              <w:left w:val="nil"/>
              <w:bottom w:val="single" w:color="auto" w:sz="4" w:space="0"/>
              <w:right w:val="single" w:color="auto" w:sz="4" w:space="0"/>
              <w:tl2br w:val="nil"/>
              <w:tr2bl w:val="nil"/>
            </w:tcBorders>
            <w:noWrap/>
            <w:vAlign w:val="center"/>
          </w:tcPr>
          <w:p w14:paraId="38BB44F2">
            <w:pPr>
              <w:snapToGrid w:val="0"/>
              <w:spacing w:line="600" w:lineRule="exact"/>
              <w:jc w:val="lef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540" w:type="dxa"/>
            <w:tcBorders>
              <w:top w:val="nil"/>
              <w:left w:val="nil"/>
              <w:bottom w:val="single" w:color="auto" w:sz="4" w:space="0"/>
              <w:right w:val="single" w:color="auto" w:sz="4" w:space="0"/>
              <w:tl2br w:val="nil"/>
              <w:tr2bl w:val="nil"/>
            </w:tcBorders>
            <w:noWrap/>
            <w:vAlign w:val="center"/>
          </w:tcPr>
          <w:p w14:paraId="00944081">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422F39A8">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207F1EF2">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20" w:type="dxa"/>
            <w:tcBorders>
              <w:top w:val="nil"/>
              <w:left w:val="nil"/>
              <w:bottom w:val="single" w:color="auto" w:sz="4" w:space="0"/>
              <w:right w:val="single" w:color="auto" w:sz="4" w:space="0"/>
              <w:tl2br w:val="nil"/>
              <w:tr2bl w:val="nil"/>
            </w:tcBorders>
            <w:noWrap/>
            <w:vAlign w:val="center"/>
          </w:tcPr>
          <w:p w14:paraId="02A16488">
            <w:pPr>
              <w:snapToGrid w:val="0"/>
              <w:spacing w:line="600" w:lineRule="exact"/>
              <w:jc w:val="center"/>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180" w:type="dxa"/>
            <w:tcBorders>
              <w:top w:val="nil"/>
              <w:left w:val="nil"/>
              <w:bottom w:val="single" w:color="auto" w:sz="4" w:space="0"/>
              <w:right w:val="single" w:color="auto" w:sz="4" w:space="0"/>
              <w:tl2br w:val="nil"/>
              <w:tr2bl w:val="nil"/>
            </w:tcBorders>
            <w:noWrap/>
            <w:vAlign w:val="center"/>
          </w:tcPr>
          <w:p w14:paraId="1FA13B8C">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c>
          <w:tcPr>
            <w:tcW w:w="1480" w:type="dxa"/>
            <w:tcBorders>
              <w:top w:val="nil"/>
              <w:left w:val="nil"/>
              <w:bottom w:val="single" w:color="auto" w:sz="4" w:space="0"/>
              <w:right w:val="single" w:color="auto" w:sz="4" w:space="0"/>
              <w:tl2br w:val="nil"/>
              <w:tr2bl w:val="nil"/>
            </w:tcBorders>
            <w:noWrap/>
            <w:vAlign w:val="center"/>
          </w:tcPr>
          <w:p w14:paraId="0AC3A677">
            <w:pPr>
              <w:snapToGrid w:val="0"/>
              <w:spacing w:line="600" w:lineRule="exact"/>
              <w:jc w:val="right"/>
              <w:rPr>
                <w:rFonts w:hint="default" w:ascii="Times New Roman" w:hAnsi="Times New Roman" w:eastAsia="宋体" w:cs="Times New Roman"/>
                <w:color w:val="auto"/>
                <w:kern w:val="0"/>
                <w:sz w:val="20"/>
              </w:rPr>
            </w:pPr>
            <w:r>
              <w:rPr>
                <w:rFonts w:hint="default" w:ascii="Times New Roman" w:hAnsi="Times New Roman" w:eastAsia="宋体" w:cs="Times New Roman"/>
                <w:color w:val="auto"/>
                <w:kern w:val="0"/>
                <w:sz w:val="20"/>
              </w:rPr>
              <w:t>　</w:t>
            </w:r>
          </w:p>
        </w:tc>
      </w:tr>
    </w:tbl>
    <w:p w14:paraId="7261401E">
      <w:pPr>
        <w:snapToGrid w:val="0"/>
        <w:rPr>
          <w:rFonts w:hint="default" w:ascii="Times New Roman" w:hAnsi="Times New Roman" w:eastAsia="方正小标宋_GBK" w:cs="Times New Roman"/>
          <w:color w:val="auto"/>
          <w:sz w:val="44"/>
          <w:lang w:eastAsia="zh-CN"/>
        </w:rPr>
      </w:pPr>
    </w:p>
    <w:p w14:paraId="4E0BF442">
      <w:pPr>
        <w:snapToGrid w:val="0"/>
        <w:spacing w:line="600" w:lineRule="exact"/>
        <w:rPr>
          <w:rFonts w:hint="default" w:ascii="Times New Roman" w:hAnsi="Times New Roman" w:eastAsia="方正小标宋_GBK" w:cs="Times New Roman"/>
          <w:color w:val="auto"/>
          <w:sz w:val="44"/>
          <w:lang w:eastAsia="zh-CN"/>
        </w:rPr>
      </w:pPr>
      <w:r>
        <w:rPr>
          <w:rFonts w:hint="default" w:ascii="Times New Roman" w:hAnsi="Times New Roman" w:eastAsia="仿宋_GB2312" w:cs="Times New Roman"/>
          <w:color w:val="auto"/>
          <w:kern w:val="0"/>
          <w:sz w:val="32"/>
          <w:lang w:eastAsia="zh-CN"/>
        </w:rPr>
        <w:t>注：文件表格可通过中心网站下载或扫描以下二维码获取。</w:t>
      </w:r>
    </w:p>
    <w:p w14:paraId="10839B8F">
      <w:pPr>
        <w:snapToGrid w:val="0"/>
        <w:spacing w:line="240" w:lineRule="auto"/>
        <w:jc w:val="center"/>
        <w:rPr>
          <w:rFonts w:hint="default" w:ascii="Times New Roman" w:hAnsi="Times New Roman" w:eastAsia="方正小标宋_GBK" w:cs="Times New Roman"/>
          <w:color w:val="0000FF"/>
          <w:kern w:val="0"/>
          <w:sz w:val="44"/>
          <w:lang w:eastAsia="zh-CN"/>
        </w:rPr>
      </w:pPr>
      <w:r>
        <w:rPr>
          <w:rFonts w:hint="default" w:ascii="Times New Roman" w:hAnsi="Times New Roman" w:eastAsia="方正小标宋_GBK" w:cs="Times New Roman"/>
          <w:color w:val="0000FF"/>
          <w:sz w:val="44"/>
          <w:lang w:eastAsia="zh-CN"/>
        </w:rPr>
        <w:pict>
          <v:shape id="_x0000_i1026" o:spt="75" alt="住房公积金年度缴存调整批处理文件" type="#_x0000_t75" style="height:99pt;width:99pt;" filled="f" o:preferrelative="t" stroked="f" coordsize="21600,21600">
            <v:path/>
            <v:fill on="f" focussize="0,0"/>
            <v:stroke on="f"/>
            <v:imagedata r:id="rId5" o:title="住房公积金年度缴存调整批处理文件"/>
            <o:lock v:ext="edit" aspectratio="t"/>
            <w10:wrap type="none"/>
            <w10:anchorlock/>
          </v:shape>
        </w:pict>
      </w:r>
    </w:p>
    <w:p w14:paraId="4ED43ED9">
      <w:pPr>
        <w:snapToGrid w:val="0"/>
        <w:spacing w:line="600" w:lineRule="exact"/>
        <w:jc w:val="center"/>
        <w:rPr>
          <w:rFonts w:hint="default" w:ascii="Times New Roman" w:hAnsi="Times New Roman" w:cs="Times New Roman"/>
          <w:color w:val="auto"/>
          <w:kern w:val="0"/>
          <w:sz w:val="44"/>
        </w:rPr>
      </w:pPr>
      <w:r>
        <w:rPr>
          <w:rFonts w:hint="default" w:ascii="Times New Roman" w:hAnsi="Times New Roman" w:eastAsia="方正小标宋_GBK" w:cs="Times New Roman"/>
          <w:color w:val="auto"/>
          <w:kern w:val="0"/>
          <w:sz w:val="44"/>
          <w:lang w:eastAsia="zh-CN"/>
        </w:rPr>
        <w:t>《</w:t>
      </w:r>
      <w:r>
        <w:rPr>
          <w:rFonts w:hint="default" w:ascii="Times New Roman" w:hAnsi="Times New Roman" w:eastAsia="方正小标宋_GBK" w:cs="Times New Roman"/>
          <w:color w:val="auto"/>
          <w:kern w:val="0"/>
          <w:sz w:val="44"/>
        </w:rPr>
        <w:t>住房公积金年度缴存调整批处理</w:t>
      </w:r>
      <w:r>
        <w:rPr>
          <w:rFonts w:hint="default" w:ascii="Times New Roman" w:hAnsi="Times New Roman" w:eastAsia="方正小标宋_GBK" w:cs="Times New Roman"/>
          <w:color w:val="auto"/>
          <w:kern w:val="0"/>
          <w:sz w:val="44"/>
          <w:lang w:eastAsia="zh-CN"/>
        </w:rPr>
        <w:t>文件》</w:t>
      </w:r>
    </w:p>
    <w:p w14:paraId="34E53974">
      <w:pPr>
        <w:snapToGrid w:val="0"/>
        <w:spacing w:line="600" w:lineRule="exact"/>
        <w:jc w:val="center"/>
        <w:rPr>
          <w:rFonts w:hint="default" w:ascii="Times New Roman" w:hAnsi="Times New Roman" w:eastAsia="公文小标宋简" w:cs="Times New Roman"/>
          <w:b/>
          <w:color w:val="auto"/>
          <w:sz w:val="36"/>
        </w:rPr>
      </w:pPr>
      <w:r>
        <w:rPr>
          <w:rFonts w:hint="default" w:ascii="Times New Roman" w:hAnsi="Times New Roman" w:eastAsia="方正小标宋_GBK" w:cs="Times New Roman"/>
          <w:color w:val="auto"/>
          <w:sz w:val="44"/>
        </w:rPr>
        <w:t>填写说明</w:t>
      </w:r>
    </w:p>
    <w:p w14:paraId="41519A34">
      <w:pPr>
        <w:snapToGrid w:val="0"/>
        <w:spacing w:line="600" w:lineRule="exact"/>
        <w:ind w:firstLine="576" w:firstLineChars="192"/>
        <w:rPr>
          <w:rFonts w:hint="default" w:ascii="Times New Roman" w:hAnsi="Times New Roman" w:cs="Times New Roman"/>
          <w:color w:val="auto"/>
          <w:sz w:val="30"/>
        </w:rPr>
      </w:pPr>
    </w:p>
    <w:p w14:paraId="38FF53B1">
      <w:pPr>
        <w:snapToGrid w:val="0"/>
        <w:spacing w:line="560" w:lineRule="exact"/>
        <w:ind w:firstLine="576" w:firstLineChars="192"/>
        <w:rPr>
          <w:rFonts w:hint="default" w:ascii="Times New Roman" w:hAnsi="Times New Roman" w:cs="Times New Roman"/>
          <w:color w:val="auto"/>
          <w:sz w:val="30"/>
        </w:rPr>
      </w:pPr>
      <w:r>
        <w:rPr>
          <w:rFonts w:hint="default" w:ascii="Times New Roman" w:hAnsi="Times New Roman" w:cs="Times New Roman"/>
          <w:color w:val="auto"/>
          <w:sz w:val="30"/>
        </w:rPr>
        <w:t>1</w:t>
      </w:r>
      <w:r>
        <w:rPr>
          <w:rFonts w:hint="default" w:ascii="Times New Roman" w:hAnsi="Times New Roman" w:eastAsia="仿宋_GB2312" w:cs="Times New Roman"/>
          <w:color w:val="auto"/>
          <w:sz w:val="30"/>
          <w:lang w:eastAsia="zh-CN"/>
        </w:rPr>
        <w:t>.</w:t>
      </w:r>
      <w:r>
        <w:rPr>
          <w:rFonts w:hint="default" w:ascii="Times New Roman" w:hAnsi="Times New Roman" w:eastAsia="仿宋_GB2312" w:cs="Times New Roman"/>
          <w:color w:val="auto"/>
          <w:sz w:val="30"/>
        </w:rPr>
        <w:t>电子</w:t>
      </w:r>
      <w:r>
        <w:rPr>
          <w:rFonts w:hint="default" w:ascii="Times New Roman" w:hAnsi="Times New Roman" w:eastAsia="仿宋_GB2312" w:cs="Times New Roman"/>
          <w:color w:val="auto"/>
          <w:sz w:val="30"/>
          <w:lang w:eastAsia="zh-CN"/>
        </w:rPr>
        <w:t>文件</w:t>
      </w:r>
      <w:r>
        <w:rPr>
          <w:rFonts w:hint="default" w:ascii="Times New Roman" w:hAnsi="Times New Roman" w:eastAsia="仿宋_GB2312" w:cs="Times New Roman"/>
          <w:color w:val="auto"/>
          <w:sz w:val="30"/>
        </w:rPr>
        <w:t>格式已设定好，填写时请不要改动单元格格式；</w:t>
      </w:r>
    </w:p>
    <w:p w14:paraId="4842399F">
      <w:pPr>
        <w:snapToGrid w:val="0"/>
        <w:spacing w:line="560" w:lineRule="exact"/>
        <w:ind w:firstLine="576" w:firstLineChars="192"/>
        <w:rPr>
          <w:rFonts w:hint="default" w:ascii="Times New Roman" w:hAnsi="Times New Roman" w:cs="Times New Roman"/>
          <w:color w:val="auto"/>
          <w:sz w:val="30"/>
        </w:rPr>
      </w:pPr>
      <w:r>
        <w:rPr>
          <w:rFonts w:hint="default" w:ascii="Times New Roman" w:hAnsi="Times New Roman" w:cs="Times New Roman"/>
          <w:color w:val="auto"/>
          <w:sz w:val="30"/>
        </w:rPr>
        <w:t>2</w:t>
      </w:r>
      <w:r>
        <w:rPr>
          <w:rFonts w:hint="default" w:ascii="Times New Roman" w:hAnsi="Times New Roman" w:eastAsia="仿宋_GB2312" w:cs="Times New Roman"/>
          <w:color w:val="auto"/>
          <w:sz w:val="30"/>
          <w:lang w:eastAsia="zh-CN"/>
        </w:rPr>
        <w:t>.</w:t>
      </w:r>
      <w:r>
        <w:rPr>
          <w:rFonts w:hint="default" w:ascii="Times New Roman" w:hAnsi="Times New Roman" w:eastAsia="仿宋_GB2312" w:cs="Times New Roman"/>
          <w:color w:val="auto"/>
          <w:sz w:val="30"/>
        </w:rPr>
        <w:t>参照电子</w:t>
      </w:r>
      <w:r>
        <w:rPr>
          <w:rFonts w:hint="default" w:ascii="Times New Roman" w:hAnsi="Times New Roman" w:eastAsia="仿宋_GB2312" w:cs="Times New Roman"/>
          <w:color w:val="auto"/>
          <w:sz w:val="30"/>
          <w:lang w:eastAsia="zh-CN"/>
        </w:rPr>
        <w:t>文件</w:t>
      </w:r>
      <w:r>
        <w:rPr>
          <w:rFonts w:hint="default" w:ascii="Times New Roman" w:hAnsi="Times New Roman" w:eastAsia="仿宋_GB2312" w:cs="Times New Roman"/>
          <w:color w:val="auto"/>
          <w:sz w:val="30"/>
        </w:rPr>
        <w:t>中“样表”的填写形式在《住房公积金年度缴存调整批处理</w:t>
      </w:r>
      <w:r>
        <w:rPr>
          <w:rFonts w:hint="default" w:ascii="Times New Roman" w:hAnsi="Times New Roman" w:eastAsia="仿宋_GB2312" w:cs="Times New Roman"/>
          <w:color w:val="auto"/>
          <w:sz w:val="30"/>
          <w:lang w:eastAsia="zh-CN"/>
        </w:rPr>
        <w:t>文件</w:t>
      </w:r>
      <w:r>
        <w:rPr>
          <w:rFonts w:hint="default" w:ascii="Times New Roman" w:hAnsi="Times New Roman" w:eastAsia="仿宋_GB2312" w:cs="Times New Roman"/>
          <w:color w:val="auto"/>
          <w:sz w:val="30"/>
        </w:rPr>
        <w:t>》中录入职工的缴存调整数据；</w:t>
      </w:r>
    </w:p>
    <w:p w14:paraId="2CEFD3DF">
      <w:pPr>
        <w:snapToGrid w:val="0"/>
        <w:spacing w:line="560" w:lineRule="exact"/>
        <w:ind w:firstLine="576" w:firstLineChars="192"/>
        <w:rPr>
          <w:rFonts w:hint="default" w:ascii="Times New Roman" w:hAnsi="Times New Roman" w:cs="Times New Roman"/>
          <w:color w:val="auto"/>
          <w:sz w:val="30"/>
        </w:rPr>
      </w:pPr>
      <w:r>
        <w:rPr>
          <w:rFonts w:hint="default" w:ascii="Times New Roman" w:hAnsi="Times New Roman" w:cs="Times New Roman"/>
          <w:color w:val="auto"/>
          <w:sz w:val="30"/>
        </w:rPr>
        <w:t>3</w:t>
      </w:r>
      <w:r>
        <w:rPr>
          <w:rFonts w:hint="default" w:ascii="Times New Roman" w:hAnsi="Times New Roman" w:eastAsia="仿宋_GB2312" w:cs="Times New Roman"/>
          <w:color w:val="auto"/>
          <w:sz w:val="30"/>
          <w:lang w:eastAsia="zh-CN"/>
        </w:rPr>
        <w:t>.</w:t>
      </w:r>
      <w:r>
        <w:rPr>
          <w:rFonts w:hint="default" w:ascii="Times New Roman" w:hAnsi="Times New Roman" w:eastAsia="仿宋_GB2312" w:cs="Times New Roman"/>
          <w:color w:val="auto"/>
          <w:sz w:val="30"/>
        </w:rPr>
        <w:t>填写“姓名”项时，请依照职工的缴存信息保持两者间的一一对应关系；</w:t>
      </w:r>
    </w:p>
    <w:p w14:paraId="4AD35739">
      <w:pPr>
        <w:snapToGrid w:val="0"/>
        <w:spacing w:line="560" w:lineRule="exact"/>
        <w:ind w:firstLine="576" w:firstLineChars="192"/>
        <w:rPr>
          <w:rFonts w:hint="default" w:ascii="Times New Roman" w:hAnsi="Times New Roman" w:cs="Times New Roman"/>
          <w:color w:val="auto"/>
          <w:sz w:val="30"/>
        </w:rPr>
      </w:pPr>
      <w:r>
        <w:rPr>
          <w:rFonts w:hint="default" w:ascii="Times New Roman" w:hAnsi="Times New Roman" w:cs="Times New Roman"/>
          <w:color w:val="auto"/>
          <w:sz w:val="30"/>
        </w:rPr>
        <w:t>4</w:t>
      </w:r>
      <w:r>
        <w:rPr>
          <w:rFonts w:hint="default" w:ascii="Times New Roman" w:hAnsi="Times New Roman" w:eastAsia="仿宋_GB2312" w:cs="Times New Roman"/>
          <w:color w:val="auto"/>
          <w:sz w:val="30"/>
          <w:lang w:eastAsia="zh-CN"/>
        </w:rPr>
        <w:t>.</w:t>
      </w:r>
      <w:r>
        <w:rPr>
          <w:rFonts w:hint="default" w:ascii="Times New Roman" w:hAnsi="Times New Roman" w:cs="Times New Roman"/>
          <w:color w:val="auto"/>
          <w:sz w:val="30"/>
        </w:rPr>
        <w:t>“</w:t>
      </w:r>
      <w:r>
        <w:rPr>
          <w:rFonts w:hint="default" w:ascii="Times New Roman" w:hAnsi="Times New Roman" w:eastAsia="仿宋_GB2312" w:cs="Times New Roman"/>
          <w:color w:val="auto"/>
          <w:sz w:val="30"/>
        </w:rPr>
        <w:t>上年度月均工资”“缴存基数”两项以元为单位，可保留两位小数，缴存基数不低于2</w:t>
      </w:r>
      <w:r>
        <w:rPr>
          <w:rFonts w:hint="default" w:ascii="Times New Roman" w:hAnsi="Times New Roman" w:eastAsia="仿宋_GB2312" w:cs="Times New Roman"/>
          <w:color w:val="auto"/>
          <w:sz w:val="30"/>
          <w:lang w:val="en-US" w:eastAsia="zh-CN"/>
        </w:rPr>
        <w:t>5</w:t>
      </w:r>
      <w:r>
        <w:rPr>
          <w:rFonts w:hint="default" w:ascii="Times New Roman" w:hAnsi="Times New Roman" w:cs="Times New Roman"/>
          <w:color w:val="auto"/>
          <w:sz w:val="30"/>
        </w:rPr>
        <w:t>00</w:t>
      </w:r>
      <w:r>
        <w:rPr>
          <w:rFonts w:hint="default" w:ascii="Times New Roman" w:hAnsi="Times New Roman" w:eastAsia="仿宋_GB2312" w:cs="Times New Roman"/>
          <w:color w:val="auto"/>
          <w:sz w:val="30"/>
        </w:rPr>
        <w:t>，不超过</w:t>
      </w:r>
      <w:r>
        <w:rPr>
          <w:rFonts w:hint="eastAsia" w:ascii="Times New Roman" w:hAnsi="Times New Roman" w:eastAsia="仿宋_GB2312" w:cs="Times New Roman"/>
          <w:color w:val="auto"/>
          <w:sz w:val="30"/>
          <w:highlight w:val="none"/>
          <w:u w:val="none"/>
          <w:lang w:val="en-US" w:eastAsia="zh-CN"/>
        </w:rPr>
        <w:t>41697</w:t>
      </w:r>
      <w:r>
        <w:rPr>
          <w:rFonts w:hint="default" w:ascii="Times New Roman" w:hAnsi="Times New Roman" w:eastAsia="仿宋_GB2312" w:cs="Times New Roman"/>
          <w:color w:val="auto"/>
          <w:sz w:val="30"/>
        </w:rPr>
        <w:t>；</w:t>
      </w:r>
    </w:p>
    <w:p w14:paraId="4F2EC9EA">
      <w:pPr>
        <w:snapToGrid w:val="0"/>
        <w:spacing w:line="560" w:lineRule="exact"/>
        <w:ind w:firstLine="576" w:firstLineChars="192"/>
        <w:rPr>
          <w:rFonts w:hint="default" w:ascii="Times New Roman" w:hAnsi="Times New Roman" w:eastAsia="仿宋_GB2312" w:cs="Times New Roman"/>
          <w:color w:val="auto"/>
          <w:sz w:val="30"/>
          <w:lang w:eastAsia="zh-CN"/>
        </w:rPr>
      </w:pPr>
      <w:r>
        <w:rPr>
          <w:rFonts w:hint="default" w:ascii="Times New Roman" w:hAnsi="Times New Roman" w:cs="Times New Roman"/>
          <w:color w:val="auto"/>
          <w:sz w:val="30"/>
        </w:rPr>
        <w:t>5</w:t>
      </w:r>
      <w:r>
        <w:rPr>
          <w:rFonts w:hint="default" w:ascii="Times New Roman" w:hAnsi="Times New Roman" w:eastAsia="仿宋_GB2312" w:cs="Times New Roman"/>
          <w:color w:val="auto"/>
          <w:sz w:val="30"/>
          <w:lang w:eastAsia="zh-CN"/>
        </w:rPr>
        <w:t>.</w:t>
      </w:r>
      <w:r>
        <w:rPr>
          <w:rFonts w:hint="default" w:ascii="Times New Roman" w:hAnsi="Times New Roman" w:cs="Times New Roman"/>
          <w:color w:val="auto"/>
          <w:sz w:val="30"/>
        </w:rPr>
        <w:t>“</w:t>
      </w:r>
      <w:r>
        <w:rPr>
          <w:rFonts w:hint="default" w:ascii="Times New Roman" w:hAnsi="Times New Roman" w:eastAsia="仿宋_GB2312" w:cs="Times New Roman"/>
          <w:color w:val="auto"/>
          <w:sz w:val="30"/>
        </w:rPr>
        <w:t>缴存比例”不低于5，不高于12，取整数，无%号；</w:t>
      </w:r>
      <w:r>
        <w:rPr>
          <w:rFonts w:hint="default" w:ascii="Times New Roman" w:hAnsi="Times New Roman" w:eastAsia="仿宋_GB2312" w:cs="Times New Roman"/>
          <w:color w:val="auto"/>
          <w:sz w:val="30"/>
          <w:lang w:eastAsia="zh-CN"/>
        </w:rPr>
        <w:t>人力资源市场中介机构按批复的缴存比例范围选择填写；</w:t>
      </w:r>
    </w:p>
    <w:p w14:paraId="0C4CC6E5">
      <w:pPr>
        <w:snapToGrid w:val="0"/>
        <w:spacing w:line="560" w:lineRule="exact"/>
        <w:ind w:firstLine="576" w:firstLineChars="192"/>
        <w:rPr>
          <w:rFonts w:hint="default" w:ascii="Times New Roman" w:hAnsi="Times New Roman" w:cs="Times New Roman"/>
          <w:color w:val="auto"/>
          <w:sz w:val="30"/>
        </w:rPr>
      </w:pPr>
      <w:r>
        <w:rPr>
          <w:rFonts w:hint="default" w:ascii="Times New Roman" w:hAnsi="Times New Roman" w:cs="Times New Roman"/>
          <w:color w:val="auto"/>
          <w:sz w:val="30"/>
        </w:rPr>
        <w:t>6</w:t>
      </w:r>
      <w:r>
        <w:rPr>
          <w:rFonts w:hint="default" w:ascii="Times New Roman" w:hAnsi="Times New Roman" w:eastAsia="仿宋_GB2312" w:cs="Times New Roman"/>
          <w:color w:val="auto"/>
          <w:sz w:val="30"/>
          <w:lang w:eastAsia="zh-CN"/>
        </w:rPr>
        <w:t>.</w:t>
      </w:r>
      <w:r>
        <w:rPr>
          <w:rFonts w:hint="default" w:ascii="Times New Roman" w:hAnsi="Times New Roman" w:cs="Times New Roman"/>
          <w:color w:val="auto"/>
          <w:sz w:val="30"/>
        </w:rPr>
        <w:t>“</w:t>
      </w:r>
      <w:r>
        <w:rPr>
          <w:rFonts w:hint="default" w:ascii="Times New Roman" w:hAnsi="Times New Roman" w:eastAsia="仿宋_GB2312" w:cs="Times New Roman"/>
          <w:color w:val="auto"/>
          <w:sz w:val="30"/>
        </w:rPr>
        <w:t>单位、个人缴存额”两项以元为单位，四舍五入取整数，可用函数：缴存额=ROUND(缴存基数×缴存比例/100，0)计算；</w:t>
      </w:r>
    </w:p>
    <w:p w14:paraId="653C2A06">
      <w:pPr>
        <w:snapToGrid w:val="0"/>
        <w:spacing w:line="560" w:lineRule="exact"/>
        <w:ind w:firstLine="576" w:firstLineChars="192"/>
        <w:rPr>
          <w:rFonts w:hint="default" w:ascii="Times New Roman" w:hAnsi="Times New Roman" w:cs="Times New Roman"/>
          <w:color w:val="auto"/>
          <w:sz w:val="30"/>
        </w:rPr>
      </w:pPr>
      <w:r>
        <w:rPr>
          <w:rFonts w:hint="default" w:ascii="Times New Roman" w:hAnsi="Times New Roman" w:cs="Times New Roman"/>
          <w:color w:val="auto"/>
          <w:sz w:val="30"/>
        </w:rPr>
        <w:t>7</w:t>
      </w:r>
      <w:r>
        <w:rPr>
          <w:rFonts w:hint="default" w:ascii="Times New Roman" w:hAnsi="Times New Roman" w:eastAsia="仿宋_GB2312" w:cs="Times New Roman"/>
          <w:color w:val="auto"/>
          <w:sz w:val="30"/>
          <w:lang w:eastAsia="zh-CN"/>
        </w:rPr>
        <w:t>.</w:t>
      </w:r>
      <w:r>
        <w:rPr>
          <w:rFonts w:hint="default" w:ascii="Times New Roman" w:hAnsi="Times New Roman" w:eastAsia="仿宋_GB2312" w:cs="Times New Roman"/>
          <w:color w:val="auto"/>
          <w:sz w:val="30"/>
        </w:rPr>
        <w:t>仅缴存状态的职工需办理调整，封存状态的职工不调整；</w:t>
      </w:r>
    </w:p>
    <w:p w14:paraId="1C8839BD">
      <w:pPr>
        <w:snapToGrid w:val="0"/>
        <w:spacing w:line="560" w:lineRule="exact"/>
        <w:ind w:firstLine="576" w:firstLineChars="192"/>
        <w:rPr>
          <w:rFonts w:hint="default" w:ascii="Times New Roman" w:hAnsi="Times New Roman" w:cs="Times New Roman"/>
          <w:color w:val="auto"/>
          <w:sz w:val="30"/>
          <w:szCs w:val="30"/>
        </w:rPr>
      </w:pPr>
      <w:r>
        <w:rPr>
          <w:rFonts w:hint="default" w:ascii="Times New Roman" w:hAnsi="Times New Roman" w:cs="Times New Roman"/>
          <w:color w:val="auto"/>
          <w:sz w:val="30"/>
        </w:rPr>
        <w:t>8</w:t>
      </w:r>
      <w:r>
        <w:rPr>
          <w:rFonts w:hint="default" w:ascii="Times New Roman" w:hAnsi="Times New Roman" w:eastAsia="仿宋_GB2312" w:cs="Times New Roman"/>
          <w:color w:val="auto"/>
          <w:sz w:val="30"/>
          <w:lang w:eastAsia="zh-CN"/>
        </w:rPr>
        <w:t>.</w:t>
      </w:r>
      <w:r>
        <w:rPr>
          <w:rFonts w:hint="default" w:ascii="Times New Roman" w:hAnsi="Times New Roman" w:cs="Times New Roman"/>
          <w:color w:val="auto"/>
          <w:sz w:val="30"/>
        </w:rPr>
        <w:t>“</w:t>
      </w:r>
      <w:r>
        <w:rPr>
          <w:rFonts w:hint="default" w:ascii="Times New Roman" w:hAnsi="Times New Roman" w:eastAsia="仿宋_GB2312" w:cs="Times New Roman"/>
          <w:color w:val="auto"/>
          <w:sz w:val="30"/>
        </w:rPr>
        <w:t>调整后月缴存额（合计）”项等于所有职工“单位缴存额”</w:t>
      </w:r>
      <w:r>
        <w:rPr>
          <w:rFonts w:hint="default" w:ascii="Times New Roman" w:hAnsi="Times New Roman" w:eastAsia="仿宋_GB2312" w:cs="Times New Roman"/>
          <w:color w:val="auto"/>
          <w:sz w:val="30"/>
          <w:szCs w:val="30"/>
        </w:rPr>
        <w:t>和“个人缴存额”两项的合计数；</w:t>
      </w:r>
    </w:p>
    <w:p w14:paraId="1B47449E">
      <w:pPr>
        <w:snapToGrid w:val="0"/>
        <w:spacing w:line="560" w:lineRule="exact"/>
        <w:ind w:firstLine="600" w:firstLineChars="200"/>
        <w:rPr>
          <w:rFonts w:hint="default" w:ascii="Times New Roman" w:hAnsi="Times New Roman" w:eastAsia="仿宋_GB2312" w:cs="Times New Roman"/>
          <w:color w:val="auto"/>
          <w:kern w:val="0"/>
          <w:sz w:val="30"/>
          <w:szCs w:val="30"/>
          <w:lang w:eastAsia="zh-CN"/>
        </w:rPr>
      </w:pPr>
      <w:r>
        <w:rPr>
          <w:rFonts w:hint="default" w:ascii="Times New Roman" w:hAnsi="Times New Roman" w:eastAsia="仿宋_GB2312" w:cs="Times New Roman"/>
          <w:color w:val="auto"/>
          <w:sz w:val="30"/>
          <w:szCs w:val="30"/>
          <w:lang w:val="en-US" w:eastAsia="zh-CN"/>
        </w:rPr>
        <w:t>9</w:t>
      </w:r>
      <w:r>
        <w:rPr>
          <w:rFonts w:hint="default" w:ascii="Times New Roman" w:hAnsi="Times New Roman" w:eastAsia="仿宋_GB2312" w:cs="Times New Roman"/>
          <w:color w:val="auto"/>
          <w:sz w:val="30"/>
          <w:szCs w:val="30"/>
          <w:lang w:eastAsia="zh-CN"/>
        </w:rPr>
        <w:t>.</w:t>
      </w:r>
      <w:r>
        <w:rPr>
          <w:rFonts w:hint="default" w:ascii="Times New Roman" w:hAnsi="Times New Roman" w:cs="Times New Roman"/>
          <w:color w:val="auto"/>
          <w:kern w:val="0"/>
          <w:sz w:val="30"/>
          <w:szCs w:val="30"/>
        </w:rPr>
        <w:t>“</w:t>
      </w:r>
      <w:r>
        <w:rPr>
          <w:rFonts w:hint="default" w:ascii="Times New Roman" w:hAnsi="Times New Roman" w:eastAsia="仿宋_GB2312" w:cs="Times New Roman"/>
          <w:color w:val="auto"/>
          <w:kern w:val="0"/>
          <w:sz w:val="30"/>
          <w:szCs w:val="30"/>
        </w:rPr>
        <w:t>启用年月”请填写末次汇缴年月的次月</w:t>
      </w:r>
      <w:r>
        <w:rPr>
          <w:rFonts w:hint="default" w:ascii="Times New Roman" w:hAnsi="Times New Roman" w:eastAsia="仿宋_GB2312" w:cs="Times New Roman"/>
          <w:color w:val="auto"/>
          <w:kern w:val="0"/>
          <w:sz w:val="30"/>
          <w:szCs w:val="30"/>
          <w:lang w:eastAsia="zh-CN"/>
        </w:rPr>
        <w:t>；</w:t>
      </w:r>
    </w:p>
    <w:p w14:paraId="57A73DA4">
      <w:pPr>
        <w:snapToGrid w:val="0"/>
        <w:spacing w:line="560" w:lineRule="exact"/>
        <w:ind w:firstLine="600" w:firstLineChars="200"/>
        <w:rPr>
          <w:rFonts w:hint="default" w:ascii="Times New Roman" w:hAnsi="Times New Roman" w:eastAsia="仿宋_GB2312" w:cs="Times New Roman"/>
          <w:color w:val="auto"/>
          <w:sz w:val="30"/>
          <w:szCs w:val="30"/>
          <w:lang w:eastAsia="zh-CN"/>
        </w:rPr>
      </w:pPr>
      <w:r>
        <w:rPr>
          <w:rFonts w:hint="default" w:ascii="Times New Roman" w:hAnsi="Times New Roman" w:eastAsia="仿宋_GB2312" w:cs="Times New Roman"/>
          <w:color w:val="auto"/>
          <w:sz w:val="30"/>
          <w:szCs w:val="30"/>
          <w:lang w:val="en-US" w:eastAsia="zh-CN"/>
        </w:rPr>
        <w:t>10.</w:t>
      </w:r>
      <w:r>
        <w:rPr>
          <w:rFonts w:hint="default" w:ascii="Times New Roman" w:hAnsi="Times New Roman" w:eastAsia="仿宋_GB2312" w:cs="Times New Roman"/>
          <w:color w:val="auto"/>
          <w:sz w:val="30"/>
          <w:szCs w:val="30"/>
        </w:rPr>
        <w:t>如实完整填写批处理</w:t>
      </w:r>
      <w:r>
        <w:rPr>
          <w:rFonts w:hint="default" w:ascii="Times New Roman" w:hAnsi="Times New Roman" w:eastAsia="仿宋_GB2312" w:cs="Times New Roman"/>
          <w:color w:val="auto"/>
          <w:sz w:val="30"/>
          <w:szCs w:val="30"/>
          <w:lang w:eastAsia="zh-CN"/>
        </w:rPr>
        <w:t>文件</w:t>
      </w:r>
      <w:r>
        <w:rPr>
          <w:rFonts w:hint="default" w:ascii="Times New Roman" w:hAnsi="Times New Roman" w:eastAsia="仿宋_GB2312" w:cs="Times New Roman"/>
          <w:color w:val="auto"/>
          <w:sz w:val="30"/>
          <w:szCs w:val="30"/>
        </w:rPr>
        <w:t>所列内容，信息登记不准确、不完整的单位将不能正常办理调整和缴存业务</w:t>
      </w:r>
      <w:r>
        <w:rPr>
          <w:rFonts w:hint="default" w:ascii="Times New Roman" w:hAnsi="Times New Roman" w:eastAsia="仿宋_GB2312" w:cs="Times New Roman"/>
          <w:color w:val="auto"/>
          <w:sz w:val="30"/>
          <w:szCs w:val="30"/>
          <w:lang w:eastAsia="zh-CN"/>
        </w:rPr>
        <w:t>；</w:t>
      </w:r>
    </w:p>
    <w:p w14:paraId="7606EE4D">
      <w:pPr>
        <w:snapToGrid w:val="0"/>
        <w:spacing w:line="560" w:lineRule="exact"/>
        <w:ind w:firstLine="600" w:firstLineChars="200"/>
        <w:rPr>
          <w:rFonts w:hint="default" w:ascii="Times New Roman" w:hAnsi="Times New Roman" w:cs="Times New Roman"/>
          <w:color w:val="auto"/>
          <w:kern w:val="0"/>
          <w:sz w:val="30"/>
          <w:szCs w:val="30"/>
        </w:rPr>
      </w:pPr>
      <w:r>
        <w:rPr>
          <w:rFonts w:hint="default" w:ascii="Times New Roman" w:hAnsi="Times New Roman" w:eastAsia="仿宋_GB2312" w:cs="Times New Roman"/>
          <w:color w:val="auto"/>
          <w:sz w:val="30"/>
          <w:szCs w:val="30"/>
          <w:lang w:val="en-US" w:eastAsia="zh-CN"/>
        </w:rPr>
        <w:t>11.</w:t>
      </w:r>
      <w:r>
        <w:rPr>
          <w:rFonts w:hint="default" w:ascii="Times New Roman" w:hAnsi="Times New Roman" w:eastAsia="仿宋_GB2312" w:cs="Times New Roman"/>
          <w:color w:val="auto"/>
          <w:sz w:val="30"/>
          <w:szCs w:val="30"/>
        </w:rPr>
        <w:t>缴存单位</w:t>
      </w:r>
      <w:r>
        <w:rPr>
          <w:rFonts w:hint="default" w:ascii="Times New Roman" w:hAnsi="Times New Roman" w:eastAsia="仿宋_GB2312" w:cs="Times New Roman"/>
          <w:color w:val="auto"/>
          <w:sz w:val="30"/>
          <w:szCs w:val="30"/>
          <w:lang w:eastAsia="zh-CN"/>
        </w:rPr>
        <w:t>应提前做好职工缴存基数核准工作，已开通网上业务的单位，可直接登录网上服务大厅下载</w:t>
      </w:r>
      <w:r>
        <w:rPr>
          <w:rFonts w:hint="default" w:ascii="Times New Roman" w:hAnsi="Times New Roman" w:eastAsia="仿宋_GB2312" w:cs="Times New Roman"/>
          <w:color w:val="auto"/>
          <w:sz w:val="30"/>
          <w:szCs w:val="30"/>
        </w:rPr>
        <w:t>缴存数据</w:t>
      </w:r>
      <w:r>
        <w:rPr>
          <w:rFonts w:hint="default" w:ascii="Times New Roman" w:hAnsi="Times New Roman" w:eastAsia="仿宋_GB2312" w:cs="Times New Roman"/>
          <w:color w:val="auto"/>
          <w:sz w:val="30"/>
          <w:szCs w:val="30"/>
          <w:lang w:eastAsia="zh-CN"/>
        </w:rPr>
        <w:t>，我中心不再</w:t>
      </w:r>
      <w:r>
        <w:rPr>
          <w:rFonts w:hint="default" w:ascii="Times New Roman" w:hAnsi="Times New Roman" w:eastAsia="仿宋_GB2312" w:cs="Times New Roman"/>
          <w:color w:val="auto"/>
          <w:sz w:val="30"/>
          <w:szCs w:val="30"/>
        </w:rPr>
        <w:t>通过前台系统</w:t>
      </w:r>
      <w:r>
        <w:rPr>
          <w:rFonts w:hint="default" w:ascii="Times New Roman" w:hAnsi="Times New Roman" w:eastAsia="仿宋_GB2312" w:cs="Times New Roman"/>
          <w:color w:val="auto"/>
          <w:sz w:val="30"/>
          <w:szCs w:val="30"/>
          <w:lang w:eastAsia="zh-CN"/>
        </w:rPr>
        <w:t>提供</w:t>
      </w:r>
      <w:r>
        <w:rPr>
          <w:rFonts w:hint="default" w:ascii="Times New Roman" w:hAnsi="Times New Roman" w:eastAsia="仿宋_GB2312" w:cs="Times New Roman"/>
          <w:color w:val="auto"/>
          <w:sz w:val="30"/>
          <w:szCs w:val="30"/>
        </w:rPr>
        <w:t>接口软件导出</w:t>
      </w:r>
      <w:r>
        <w:rPr>
          <w:rFonts w:hint="default" w:ascii="Times New Roman" w:hAnsi="Times New Roman" w:eastAsia="仿宋_GB2312" w:cs="Times New Roman"/>
          <w:color w:val="auto"/>
          <w:sz w:val="30"/>
          <w:szCs w:val="30"/>
          <w:lang w:eastAsia="zh-CN"/>
        </w:rPr>
        <w:t>数据服务</w:t>
      </w:r>
      <w:r>
        <w:rPr>
          <w:rFonts w:hint="default" w:ascii="Times New Roman" w:hAnsi="Times New Roman" w:eastAsia="仿宋_GB2312" w:cs="Times New Roman"/>
          <w:color w:val="auto"/>
          <w:sz w:val="30"/>
          <w:szCs w:val="30"/>
        </w:rPr>
        <w:t>。</w:t>
      </w:r>
    </w:p>
    <w:p w14:paraId="587DF7D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公文小标宋简">
    <w:altName w:val="宋体"/>
    <w:panose1 w:val="0201060901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172.19.1.10//newoa/missive/kinggridOfficeServer.do?method=officeProcess"/>
  </w:docVars>
  <w:rsids>
    <w:rsidRoot w:val="57916142"/>
    <w:rsid w:val="082B1D0E"/>
    <w:rsid w:val="0CA34238"/>
    <w:rsid w:val="13C276AA"/>
    <w:rsid w:val="19A62967"/>
    <w:rsid w:val="1A0B1FE4"/>
    <w:rsid w:val="1A143196"/>
    <w:rsid w:val="1D8F31C4"/>
    <w:rsid w:val="1F481043"/>
    <w:rsid w:val="20C42220"/>
    <w:rsid w:val="23A12DB6"/>
    <w:rsid w:val="2F2B05D6"/>
    <w:rsid w:val="30DD7DDA"/>
    <w:rsid w:val="31E76ED8"/>
    <w:rsid w:val="3FBC1353"/>
    <w:rsid w:val="41DF6380"/>
    <w:rsid w:val="422800B4"/>
    <w:rsid w:val="455B6F91"/>
    <w:rsid w:val="495E512C"/>
    <w:rsid w:val="4EE270C4"/>
    <w:rsid w:val="54DD37F2"/>
    <w:rsid w:val="56DC6267"/>
    <w:rsid w:val="57916142"/>
    <w:rsid w:val="5E6F7137"/>
    <w:rsid w:val="633D790B"/>
    <w:rsid w:val="6E081781"/>
    <w:rsid w:val="6F5448DC"/>
    <w:rsid w:val="70295E38"/>
    <w:rsid w:val="72C56C14"/>
    <w:rsid w:val="73A5396C"/>
    <w:rsid w:val="73CD0B87"/>
    <w:rsid w:val="74390473"/>
    <w:rsid w:val="76717F7A"/>
    <w:rsid w:val="785C7B7D"/>
    <w:rsid w:val="7DCE60D5"/>
    <w:rsid w:val="7E3C44C3"/>
    <w:rsid w:val="7FDE76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2102</Words>
  <Characters>2243</Characters>
  <Lines>0</Lines>
  <Paragraphs>0</Paragraphs>
  <TotalTime>48</TotalTime>
  <ScaleCrop>false</ScaleCrop>
  <LinksUpToDate>false</LinksUpToDate>
  <CharactersWithSpaces>2348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2026-06-17T08:24:00Z</dcterms:created>
  <dc:creator>林明鑫</dc:creator>
  <cp:lastModifiedBy>洗衣粉</cp:lastModifiedBy>
  <cp:lastPrinted>2026-06-29T08:06:00Z</cp:lastPrinted>
  <dcterms:modified xsi:type="dcterms:W3CDTF">2026-06-30T13:34:26Z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eyJoZGlkIjoiZTEzNjdjMWJmMTc3YmY3MWZhOTRjNDYwMTFhZTdhZGIiLCJ1c2VySWQiOiI3NzYxOTY0MzAifQ==</vt:lpwstr>
  </property>
  <property fmtid="{D5CDD505-2E9C-101B-9397-08002B2CF9AE}" pid="4" name="ICV">
    <vt:lpwstr>2BD57EA6ACD648CCB7D6728AFE6A92CE_12</vt:lpwstr>
  </property>
</Properties>
</file>