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C664A">
      <w:pPr>
        <w:keepNext w:val="0"/>
        <w:keepLines w:val="0"/>
        <w:pageBreakBefore w:val="0"/>
        <w:widowControl w:val="0"/>
        <w:kinsoku/>
        <w:overflowPunct/>
        <w:topLinePunct w:val="0"/>
        <w:autoSpaceDN/>
        <w:bidi w:val="0"/>
        <w:adjustRightInd/>
        <w:snapToGrid w:val="0"/>
        <w:spacing w:line="590" w:lineRule="exact"/>
        <w:jc w:val="center"/>
        <w:textAlignment w:val="auto"/>
        <w:rPr>
          <w:rFonts w:eastAsia="方正小标宋_GBK" w:cs="Times New Roman"/>
          <w:sz w:val="44"/>
          <w:szCs w:val="44"/>
        </w:rPr>
      </w:pPr>
      <w:bookmarkStart w:id="0" w:name="_Hlk231460661"/>
    </w:p>
    <w:p w14:paraId="6C5CE385">
      <w:pPr>
        <w:keepNext w:val="0"/>
        <w:keepLines w:val="0"/>
        <w:pageBreakBefore w:val="0"/>
        <w:widowControl w:val="0"/>
        <w:kinsoku/>
        <w:overflowPunct/>
        <w:topLinePunct w:val="0"/>
        <w:autoSpaceDN/>
        <w:bidi w:val="0"/>
        <w:adjustRightInd/>
        <w:snapToGrid w:val="0"/>
        <w:spacing w:line="590" w:lineRule="exact"/>
        <w:jc w:val="center"/>
        <w:textAlignment w:val="auto"/>
        <w:rPr>
          <w:rFonts w:eastAsia="方正小标宋_GBK" w:cs="Times New Roman"/>
          <w:sz w:val="44"/>
          <w:szCs w:val="44"/>
        </w:rPr>
      </w:pPr>
    </w:p>
    <w:p w14:paraId="42915FD3">
      <w:pPr>
        <w:keepNext w:val="0"/>
        <w:keepLines w:val="0"/>
        <w:pageBreakBefore w:val="0"/>
        <w:widowControl w:val="0"/>
        <w:kinsoku/>
        <w:overflowPunct/>
        <w:topLinePunct w:val="0"/>
        <w:autoSpaceDN/>
        <w:bidi w:val="0"/>
        <w:adjustRightInd/>
        <w:snapToGrid w:val="0"/>
        <w:spacing w:line="590" w:lineRule="exact"/>
        <w:jc w:val="center"/>
        <w:textAlignment w:val="auto"/>
        <w:rPr>
          <w:rFonts w:eastAsia="方正小标宋_GBK" w:cs="Times New Roman"/>
          <w:sz w:val="44"/>
          <w:szCs w:val="44"/>
        </w:rPr>
      </w:pPr>
      <w:r>
        <w:rPr>
          <w:rFonts w:hint="eastAsia" w:ascii="Times New Roman" w:hAnsi="Times New Roman" w:eastAsia="方正小标宋_GBK" w:cs="Times New Roman"/>
          <w:spacing w:val="-11"/>
          <w:sz w:val="44"/>
          <w:szCs w:val="44"/>
          <w:lang w:val="en-US" w:eastAsia="zh-CN"/>
        </w:rPr>
        <w:t>安徽省医疗保障局 安徽省财政厅 国家税务总局安徽省税务局关于印发《规范统一全省职工基本</w:t>
      </w:r>
      <w:r>
        <w:rPr>
          <w:rFonts w:hint="eastAsia" w:ascii="Times New Roman" w:hAnsi="Times New Roman" w:eastAsia="方正小标宋_GBK" w:cs="Times New Roman"/>
          <w:sz w:val="44"/>
          <w:szCs w:val="44"/>
          <w:lang w:val="en-US" w:eastAsia="zh-CN"/>
        </w:rPr>
        <w:t>医疗保险筹资与待遇政策的指导方案》的通知</w:t>
      </w:r>
    </w:p>
    <w:p w14:paraId="5E15FAE4">
      <w:pPr>
        <w:keepNext w:val="0"/>
        <w:keepLines w:val="0"/>
        <w:pageBreakBefore w:val="0"/>
        <w:widowControl w:val="0"/>
        <w:kinsoku/>
        <w:overflowPunct/>
        <w:topLinePunct w:val="0"/>
        <w:autoSpaceDN/>
        <w:bidi w:val="0"/>
        <w:adjustRightInd/>
        <w:spacing w:line="590" w:lineRule="exact"/>
        <w:ind w:firstLine="640" w:firstLineChars="200"/>
        <w:textAlignment w:val="auto"/>
      </w:pPr>
    </w:p>
    <w:p w14:paraId="1E01A496">
      <w:pPr>
        <w:keepNext w:val="0"/>
        <w:keepLines w:val="0"/>
        <w:pageBreakBefore w:val="0"/>
        <w:widowControl w:val="0"/>
        <w:suppressAutoHyphens/>
        <w:kinsoku/>
        <w:overflowPunct/>
        <w:topLinePunct w:val="0"/>
        <w:autoSpaceDN/>
        <w:bidi w:val="0"/>
        <w:adjustRightInd/>
        <w:snapToGrid w:val="0"/>
        <w:spacing w:line="590" w:lineRule="exact"/>
        <w:jc w:val="center"/>
        <w:textAlignment w:val="auto"/>
        <w:rPr>
          <w:rFonts w:hint="eastAsia" w:ascii="方正仿宋简体" w:hAnsi="方正仿宋简体" w:eastAsia="仿宋_GB2312" w:cs="方正仿宋简体"/>
          <w:color w:val="AF0F5B"/>
          <w:sz w:val="32"/>
          <w:szCs w:val="32"/>
          <w:lang w:eastAsia="zh-CN"/>
        </w:rPr>
      </w:pPr>
      <w:r>
        <w:rPr>
          <w:rFonts w:hint="eastAsia" w:ascii="Times New Roman" w:hAnsi="Times New Roman" w:eastAsia="方正仿宋_GBK" w:cs="Times New Roman"/>
          <w:color w:val="000000"/>
          <w:lang w:eastAsia="zh-CN"/>
        </w:rPr>
        <w:t>皖医保</w:t>
      </w:r>
      <w:r>
        <w:rPr>
          <w:rFonts w:hint="eastAsia" w:ascii="Times New Roman" w:hAnsi="Times New Roman" w:cs="Times New Roman"/>
          <w:color w:val="000000"/>
          <w:lang w:val="en-US" w:eastAsia="zh-CN"/>
        </w:rPr>
        <w:t>发</w:t>
      </w:r>
      <w:r>
        <w:rPr>
          <w:rFonts w:hint="eastAsia" w:ascii="Times New Roman" w:hAnsi="Times New Roman" w:eastAsia="方正仿宋_GBK" w:cs="Times New Roman"/>
          <w:color w:val="000000"/>
          <w:lang w:eastAsia="zh-CN"/>
        </w:rPr>
        <w:t>〔202</w:t>
      </w:r>
      <w:r>
        <w:rPr>
          <w:rFonts w:hint="eastAsia" w:ascii="Times New Roman" w:hAnsi="Times New Roman" w:cs="Times New Roman"/>
          <w:color w:val="000000"/>
          <w:lang w:val="en-US" w:eastAsia="zh-CN"/>
        </w:rPr>
        <w:t>6</w:t>
      </w:r>
      <w:r>
        <w:rPr>
          <w:rFonts w:hint="eastAsia" w:ascii="Times New Roman" w:hAnsi="Times New Roman" w:eastAsia="方正仿宋_GBK" w:cs="Times New Roman"/>
          <w:color w:val="000000"/>
          <w:lang w:eastAsia="zh-CN"/>
        </w:rPr>
        <w:t>〕</w:t>
      </w:r>
      <w:r>
        <w:rPr>
          <w:rFonts w:hint="eastAsia" w:ascii="Times New Roman" w:hAnsi="Times New Roman" w:cs="Times New Roman"/>
          <w:color w:val="000000"/>
          <w:lang w:val="en-US" w:eastAsia="zh-CN"/>
        </w:rPr>
        <w:t>12</w:t>
      </w:r>
      <w:r>
        <w:rPr>
          <w:rFonts w:hint="eastAsia" w:ascii="Times New Roman" w:hAnsi="Times New Roman" w:eastAsia="方正仿宋_GBK" w:cs="Times New Roman"/>
          <w:color w:val="000000"/>
          <w:lang w:eastAsia="zh-CN"/>
        </w:rPr>
        <w:t>号</w:t>
      </w:r>
    </w:p>
    <w:p w14:paraId="4F505384">
      <w:pPr>
        <w:keepNext w:val="0"/>
        <w:keepLines w:val="0"/>
        <w:pageBreakBefore w:val="0"/>
        <w:widowControl w:val="0"/>
        <w:kinsoku/>
        <w:overflowPunct/>
        <w:topLinePunct w:val="0"/>
        <w:autoSpaceDN/>
        <w:bidi w:val="0"/>
        <w:adjustRightInd/>
        <w:spacing w:line="590" w:lineRule="exact"/>
        <w:jc w:val="center"/>
        <w:textAlignment w:val="auto"/>
        <w:rPr>
          <w:rFonts w:cs="Times New Roman"/>
          <w:color w:val="AF0F5B"/>
        </w:rPr>
      </w:pPr>
    </w:p>
    <w:p w14:paraId="1691B9AE">
      <w:pPr>
        <w:keepNext w:val="0"/>
        <w:keepLines w:val="0"/>
        <w:pageBreakBefore w:val="0"/>
        <w:widowControl w:val="0"/>
        <w:kinsoku/>
        <w:overflowPunct/>
        <w:topLinePunct w:val="0"/>
        <w:autoSpaceDN/>
        <w:bidi w:val="0"/>
        <w:adjustRightInd/>
        <w:spacing w:line="590" w:lineRule="exact"/>
        <w:ind w:firstLine="640" w:firstLineChars="200"/>
        <w:textAlignment w:val="auto"/>
      </w:pPr>
    </w:p>
    <w:bookmarkEnd w:id="0"/>
    <w:p w14:paraId="61C64C4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jc w:val="both"/>
        <w:textAlignment w:val="auto"/>
        <w:rPr>
          <w:rFonts w:hint="eastAsia" w:ascii="Times New Roman" w:hAnsi="Times New Roman" w:eastAsia="方正仿宋_GBK" w:cs="方正仿宋简体"/>
          <w:spacing w:val="-4"/>
          <w:kern w:val="2"/>
          <w:sz w:val="32"/>
          <w:szCs w:val="32"/>
        </w:rPr>
      </w:pPr>
      <w:r>
        <w:rPr>
          <w:rFonts w:hint="eastAsia" w:ascii="方正仿宋_GBK" w:hAnsi="方正仿宋_GBK" w:eastAsia="方正仿宋_GBK" w:cs="方正仿宋_GBK"/>
          <w:spacing w:val="-4"/>
          <w:kern w:val="2"/>
          <w:sz w:val="32"/>
          <w:szCs w:val="32"/>
          <w:lang w:val="en-US" w:eastAsia="zh-CN" w:bidi="ar"/>
        </w:rPr>
        <w:t>各市医疗保障局、财政局，国家税务总局安徽省各市税务局：</w:t>
      </w:r>
    </w:p>
    <w:p w14:paraId="4744579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24" w:firstLineChars="200"/>
        <w:jc w:val="both"/>
        <w:textAlignment w:val="auto"/>
        <w:rPr>
          <w:rFonts w:hint="eastAsia" w:ascii="方正仿宋_GBK" w:hAnsi="方正仿宋_GBK" w:eastAsia="方正仿宋_GBK" w:cs="方正仿宋_GBK"/>
          <w:spacing w:val="-4"/>
          <w:kern w:val="2"/>
          <w:sz w:val="32"/>
          <w:szCs w:val="32"/>
        </w:rPr>
      </w:pPr>
      <w:r>
        <w:rPr>
          <w:rFonts w:hint="eastAsia" w:ascii="方正仿宋_GBK" w:hAnsi="方正仿宋_GBK" w:eastAsia="方正仿宋_GBK" w:cs="方正仿宋_GBK"/>
          <w:spacing w:val="-4"/>
          <w:kern w:val="2"/>
          <w:sz w:val="32"/>
          <w:szCs w:val="32"/>
          <w:lang w:val="en-US" w:eastAsia="zh-CN" w:bidi="ar"/>
        </w:rPr>
        <w:t>现将《规范统一全省职工基本医疗保险筹资与待遇政策的指导方案》印发给你们，请结合实际，认真贯彻落实。</w:t>
      </w:r>
    </w:p>
    <w:p w14:paraId="3664AAD7">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outlineLvl w:val="9"/>
        <w:rPr>
          <w:rFonts w:hint="default" w:ascii="Times New Roman" w:hAnsi="Times New Roman" w:eastAsia="仿宋_GB2312" w:cs="Times New Roman"/>
          <w:sz w:val="32"/>
          <w:szCs w:val="32"/>
        </w:rPr>
      </w:pPr>
    </w:p>
    <w:p w14:paraId="358321F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仿宋_GB2312" w:cs="Times New Roman"/>
          <w:sz w:val="32"/>
          <w:szCs w:val="32"/>
        </w:rPr>
      </w:pPr>
    </w:p>
    <w:p w14:paraId="537D3E8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仿宋_GB2312" w:cs="Times New Roman"/>
          <w:sz w:val="32"/>
          <w:szCs w:val="32"/>
        </w:rPr>
      </w:pPr>
    </w:p>
    <w:p w14:paraId="51AE3C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right="0" w:firstLine="92" w:firstLineChars="30"/>
        <w:jc w:val="both"/>
        <w:textAlignment w:val="auto"/>
        <w:rPr>
          <w:rFonts w:hint="default" w:ascii="Times New Roman" w:hAnsi="Times New Roman" w:eastAsia="CESI仿宋-GB2312" w:cs="Times New Roman"/>
          <w:spacing w:val="-6"/>
          <w:kern w:val="2"/>
          <w:sz w:val="32"/>
          <w:szCs w:val="32"/>
        </w:rPr>
      </w:pPr>
      <w:r>
        <w:rPr>
          <w:rFonts w:hint="eastAsia" w:ascii="方正仿宋_GBK" w:hAnsi="方正仿宋_GBK" w:eastAsia="方正仿宋_GBK" w:cs="方正仿宋_GBK"/>
          <w:spacing w:val="-6"/>
          <w:kern w:val="2"/>
          <w:sz w:val="32"/>
          <w:szCs w:val="32"/>
          <w:lang w:val="en-US" w:eastAsia="zh-CN" w:bidi="ar"/>
        </w:rPr>
        <w:t>安徽省医疗保障局</w:t>
      </w:r>
      <w:r>
        <w:rPr>
          <w:rFonts w:hint="eastAsia" w:ascii="Times New Roman" w:hAnsi="Times New Roman" w:eastAsia="方正仿宋_GBK" w:cs="Times New Roman"/>
          <w:spacing w:val="-6"/>
          <w:kern w:val="2"/>
          <w:sz w:val="72"/>
          <w:szCs w:val="72"/>
          <w:lang w:val="en-US" w:eastAsia="zh-CN" w:bidi="ar"/>
        </w:rPr>
        <w:t xml:space="preserve"> </w:t>
      </w:r>
      <w:r>
        <w:rPr>
          <w:rFonts w:hint="eastAsia" w:ascii="方正仿宋_GBK" w:hAnsi="方正仿宋_GBK" w:eastAsia="方正仿宋_GBK" w:cs="方正仿宋_GBK"/>
          <w:spacing w:val="-6"/>
          <w:kern w:val="2"/>
          <w:sz w:val="32"/>
          <w:szCs w:val="32"/>
          <w:lang w:val="en-US" w:eastAsia="zh-CN" w:bidi="ar"/>
        </w:rPr>
        <w:t>安徽省财政厅</w:t>
      </w:r>
      <w:r>
        <w:rPr>
          <w:rFonts w:hint="eastAsia" w:ascii="Times New Roman" w:hAnsi="Times New Roman" w:eastAsia="方正仿宋_GBK" w:cs="Times New Roman"/>
          <w:spacing w:val="-6"/>
          <w:kern w:val="2"/>
          <w:sz w:val="32"/>
          <w:szCs w:val="32"/>
          <w:lang w:val="en-US" w:eastAsia="zh-CN" w:bidi="ar"/>
        </w:rPr>
        <w:t xml:space="preserve"> </w:t>
      </w:r>
      <w:r>
        <w:rPr>
          <w:rFonts w:hint="eastAsia" w:ascii="方正仿宋_GBK" w:hAnsi="方正仿宋_GBK" w:eastAsia="方正仿宋_GBK" w:cs="方正仿宋_GBK"/>
          <w:spacing w:val="-6"/>
          <w:kern w:val="2"/>
          <w:sz w:val="32"/>
          <w:szCs w:val="32"/>
          <w:lang w:val="en-US" w:eastAsia="zh-CN" w:bidi="ar"/>
        </w:rPr>
        <w:t>国家税务总局安徽省税务局</w:t>
      </w:r>
    </w:p>
    <w:p w14:paraId="136DAF25">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right"/>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6</w:t>
      </w:r>
      <w:r>
        <w:rPr>
          <w:rFonts w:hint="eastAsia" w:ascii="方正仿宋_GBK" w:hAnsi="方正仿宋_GBK" w:eastAsia="方正仿宋_GBK" w:cs="方正仿宋_GBK"/>
          <w:sz w:val="32"/>
          <w:szCs w:val="32"/>
          <w:lang w:eastAsia="zh-CN"/>
        </w:rPr>
        <w:t>年</w:t>
      </w:r>
      <w:r>
        <w:rPr>
          <w:rFonts w:hint="eastAsia" w:ascii="Times New Roman" w:hAnsi="Times New Roman" w:eastAsia="仿宋_GB2312" w:cs="Times New Roman"/>
          <w:sz w:val="32"/>
          <w:szCs w:val="32"/>
          <w:lang w:val="en-US" w:eastAsia="zh-CN"/>
        </w:rPr>
        <w:t>7</w:t>
      </w:r>
      <w:r>
        <w:rPr>
          <w:rFonts w:hint="eastAsia" w:ascii="方正仿宋_GBK" w:hAnsi="方正仿宋_GBK" w:eastAsia="方正仿宋_GBK" w:cs="方正仿宋_GBK"/>
          <w:sz w:val="32"/>
          <w:szCs w:val="32"/>
          <w:lang w:eastAsia="zh-CN"/>
        </w:rPr>
        <w:t>月</w:t>
      </w:r>
      <w:r>
        <w:rPr>
          <w:rFonts w:hint="eastAsia" w:ascii="Times New Roman" w:hAnsi="Times New Roman" w:eastAsia="仿宋_GB2312" w:cs="Times New Roman"/>
          <w:sz w:val="32"/>
          <w:szCs w:val="32"/>
          <w:lang w:val="en-US" w:eastAsia="zh-CN"/>
        </w:rPr>
        <w:t>13</w:t>
      </w:r>
      <w:r>
        <w:rPr>
          <w:rFonts w:hint="default" w:ascii="方正仿宋_GBK" w:hAnsi="方正仿宋_GBK" w:eastAsia="方正仿宋_GBK" w:cs="方正仿宋_GBK"/>
          <w:sz w:val="32"/>
          <w:szCs w:val="32"/>
        </w:rPr>
        <w:t>日</w:t>
      </w:r>
      <w:r>
        <w:rPr>
          <w:rFonts w:hint="default" w:ascii="Times New Roman" w:hAnsi="Times New Roman" w:eastAsia="仿宋_GB2312" w:cs="Times New Roman"/>
          <w:sz w:val="32"/>
          <w:szCs w:val="32"/>
        </w:rPr>
        <w:t>　　　　</w:t>
      </w:r>
    </w:p>
    <w:p w14:paraId="1BDDE62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仿宋_GB2312" w:cs="Times New Roman"/>
          <w:sz w:val="32"/>
          <w:szCs w:val="32"/>
        </w:rPr>
      </w:pPr>
    </w:p>
    <w:p w14:paraId="271A5B23">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outlineLvl w:val="9"/>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（主动公开）</w:t>
      </w:r>
    </w:p>
    <w:p w14:paraId="78C38764">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90" w:lineRule="exact"/>
        <w:ind w:left="0" w:right="0" w:firstLine="880" w:firstLineChars="200"/>
        <w:jc w:val="center"/>
        <w:textAlignment w:val="auto"/>
        <w:rPr>
          <w:rFonts w:hint="eastAsia" w:ascii="方正小标宋简体" w:hAnsi="方正小标宋简体" w:eastAsia="方正小标宋简体" w:cs="方正小标宋简体"/>
          <w:kern w:val="2"/>
          <w:sz w:val="44"/>
          <w:szCs w:val="44"/>
        </w:rPr>
      </w:pPr>
    </w:p>
    <w:p w14:paraId="12DA2130">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90" w:lineRule="exact"/>
        <w:ind w:left="0" w:right="0" w:firstLine="880" w:firstLineChars="200"/>
        <w:jc w:val="center"/>
        <w:textAlignment w:val="auto"/>
        <w:rPr>
          <w:rFonts w:hint="eastAsia" w:ascii="方正小标宋简体" w:hAnsi="方正小标宋简体" w:eastAsia="方正小标宋简体" w:cs="方正小标宋简体"/>
          <w:kern w:val="2"/>
          <w:sz w:val="44"/>
          <w:szCs w:val="44"/>
        </w:rPr>
      </w:pPr>
    </w:p>
    <w:p w14:paraId="66737016">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90" w:lineRule="exact"/>
        <w:ind w:left="0" w:right="0" w:firstLine="880" w:firstLineChars="200"/>
        <w:jc w:val="center"/>
        <w:textAlignment w:val="auto"/>
        <w:rPr>
          <w:rFonts w:hint="eastAsia" w:ascii="方正小标宋简体" w:hAnsi="方正小标宋简体" w:eastAsia="方正小标宋简体" w:cs="方正小标宋简体"/>
          <w:kern w:val="2"/>
          <w:sz w:val="44"/>
          <w:szCs w:val="44"/>
        </w:rPr>
      </w:pPr>
    </w:p>
    <w:p w14:paraId="67DF94E2">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90" w:lineRule="exact"/>
        <w:ind w:right="0"/>
        <w:jc w:val="both"/>
        <w:textAlignment w:val="auto"/>
        <w:rPr>
          <w:rFonts w:hint="eastAsia" w:ascii="方正小标宋简体" w:hAnsi="方正小标宋简体" w:eastAsia="方正小标宋简体" w:cs="方正小标宋简体"/>
          <w:kern w:val="2"/>
          <w:sz w:val="44"/>
          <w:szCs w:val="44"/>
        </w:rPr>
      </w:pPr>
      <w:bookmarkStart w:id="1" w:name="_GoBack"/>
      <w:bookmarkEnd w:id="1"/>
    </w:p>
    <w:p w14:paraId="7AA13574">
      <w:pPr>
        <w:keepNext w:val="0"/>
        <w:keepLines w:val="0"/>
        <w:pageBreakBefore w:val="0"/>
        <w:widowControl w:val="0"/>
        <w:kinsoku/>
        <w:wordWrap/>
        <w:overflowPunct/>
        <w:topLinePunct w:val="0"/>
        <w:autoSpaceDE/>
        <w:autoSpaceDN/>
        <w:bidi w:val="0"/>
        <w:adjustRightInd/>
        <w:snapToGrid w:val="0"/>
        <w:spacing w:line="590" w:lineRule="exact"/>
        <w:jc w:val="center"/>
        <w:textAlignment w:val="auto"/>
        <w:outlineLvl w:val="9"/>
        <w:rPr>
          <w:rFonts w:hint="eastAsia" w:ascii="Times New Roman" w:hAnsi="Times New Roman" w:eastAsia="方正小标宋_GBK" w:cs="Times New Roman"/>
          <w:spacing w:val="0"/>
          <w:sz w:val="44"/>
          <w:szCs w:val="44"/>
          <w:lang w:val="en-US" w:eastAsia="zh-CN"/>
        </w:rPr>
      </w:pPr>
      <w:r>
        <w:rPr>
          <w:rFonts w:hint="eastAsia" w:ascii="Times New Roman" w:hAnsi="Times New Roman" w:eastAsia="方正小标宋_GBK" w:cs="Times New Roman"/>
          <w:spacing w:val="0"/>
          <w:sz w:val="44"/>
          <w:szCs w:val="44"/>
          <w:lang w:val="en-US" w:eastAsia="zh-CN"/>
        </w:rPr>
        <w:t>规范统一全省职工基本医疗保险筹资与</w:t>
      </w:r>
    </w:p>
    <w:p w14:paraId="630FF203">
      <w:pPr>
        <w:keepNext w:val="0"/>
        <w:keepLines w:val="0"/>
        <w:pageBreakBefore w:val="0"/>
        <w:widowControl w:val="0"/>
        <w:kinsoku/>
        <w:wordWrap/>
        <w:overflowPunct/>
        <w:topLinePunct w:val="0"/>
        <w:autoSpaceDE/>
        <w:autoSpaceDN/>
        <w:bidi w:val="0"/>
        <w:adjustRightInd/>
        <w:snapToGrid w:val="0"/>
        <w:spacing w:line="590" w:lineRule="exact"/>
        <w:jc w:val="center"/>
        <w:textAlignment w:val="auto"/>
        <w:outlineLvl w:val="9"/>
        <w:rPr>
          <w:rFonts w:hint="eastAsia" w:ascii="Times New Roman" w:hAnsi="Times New Roman" w:eastAsia="方正小标宋_GBK" w:cs="Times New Roman"/>
          <w:spacing w:val="0"/>
          <w:sz w:val="44"/>
          <w:szCs w:val="44"/>
          <w:lang w:val="en-US" w:eastAsia="zh-CN"/>
        </w:rPr>
      </w:pPr>
      <w:r>
        <w:rPr>
          <w:rFonts w:hint="eastAsia" w:ascii="Times New Roman" w:hAnsi="Times New Roman" w:eastAsia="方正小标宋_GBK" w:cs="Times New Roman"/>
          <w:spacing w:val="0"/>
          <w:sz w:val="44"/>
          <w:szCs w:val="44"/>
          <w:lang w:val="en-US" w:eastAsia="zh-CN"/>
        </w:rPr>
        <w:t>待遇政策的指导方案</w:t>
      </w:r>
    </w:p>
    <w:p w14:paraId="65D63D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仿宋_GB2312" w:cs="Times New Roman"/>
          <w:sz w:val="32"/>
          <w:szCs w:val="32"/>
        </w:rPr>
      </w:pPr>
    </w:p>
    <w:p w14:paraId="1A39A0F3">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Times New Roman"/>
          <w:spacing w:val="0"/>
          <w:kern w:val="2"/>
          <w:sz w:val="32"/>
          <w:szCs w:val="32"/>
        </w:rPr>
      </w:pPr>
      <w:r>
        <w:rPr>
          <w:rFonts w:hint="eastAsia" w:ascii="方正仿宋_GBK" w:hAnsi="方正仿宋_GBK" w:eastAsia="方正仿宋_GBK" w:cs="方正仿宋_GBK"/>
          <w:spacing w:val="0"/>
          <w:kern w:val="2"/>
          <w:sz w:val="32"/>
          <w:szCs w:val="32"/>
          <w:lang w:val="en-US" w:eastAsia="zh-CN" w:bidi="ar"/>
        </w:rPr>
        <w:t>根据《安徽省人民政府办公厅关于基本医疗保险省级统筹的实施意见》（皖政办〔</w:t>
      </w:r>
      <w:r>
        <w:rPr>
          <w:rFonts w:hint="default" w:ascii="Times New Roman" w:hAnsi="Times New Roman" w:eastAsia="方正仿宋_GBK" w:cs="Times New Roman"/>
          <w:spacing w:val="0"/>
          <w:kern w:val="2"/>
          <w:sz w:val="32"/>
          <w:szCs w:val="32"/>
          <w:lang w:val="en-US" w:eastAsia="zh-CN" w:bidi="ar"/>
        </w:rPr>
        <w:t>2024</w:t>
      </w:r>
      <w:r>
        <w:rPr>
          <w:rFonts w:hint="eastAsia" w:ascii="方正仿宋_GBK" w:hAnsi="方正仿宋_GBK" w:eastAsia="方正仿宋_GBK" w:cs="方正仿宋_GBK"/>
          <w:spacing w:val="0"/>
          <w:kern w:val="2"/>
          <w:sz w:val="32"/>
          <w:szCs w:val="32"/>
          <w:lang w:val="en-US" w:eastAsia="zh-CN" w:bidi="ar"/>
        </w:rPr>
        <w:t>〕</w:t>
      </w:r>
      <w:r>
        <w:rPr>
          <w:rFonts w:hint="default" w:ascii="Times New Roman" w:hAnsi="Times New Roman" w:eastAsia="方正仿宋_GBK" w:cs="Times New Roman"/>
          <w:spacing w:val="0"/>
          <w:kern w:val="2"/>
          <w:sz w:val="32"/>
          <w:szCs w:val="32"/>
          <w:lang w:val="en-US" w:eastAsia="zh-CN" w:bidi="ar"/>
        </w:rPr>
        <w:t>3</w:t>
      </w:r>
      <w:r>
        <w:rPr>
          <w:rFonts w:hint="eastAsia" w:ascii="方正仿宋_GBK" w:hAnsi="方正仿宋_GBK" w:eastAsia="方正仿宋_GBK" w:cs="方正仿宋_GBK"/>
          <w:spacing w:val="0"/>
          <w:kern w:val="2"/>
          <w:sz w:val="32"/>
          <w:szCs w:val="32"/>
          <w:lang w:val="en-US" w:eastAsia="zh-CN" w:bidi="ar"/>
        </w:rPr>
        <w:t>号）要求，现就规范统一全省职工基本医疗保险（以下简称职工医保）筹资与待遇政策，制定以下指导方案。</w:t>
      </w:r>
    </w:p>
    <w:p w14:paraId="16E861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方正黑体_GBK" w:hAnsi="Times New Roman" w:eastAsia="方正黑体_GBK" w:cs="方正仿宋简体"/>
          <w:spacing w:val="0"/>
          <w:kern w:val="2"/>
          <w:sz w:val="32"/>
          <w:szCs w:val="32"/>
        </w:rPr>
      </w:pPr>
      <w:r>
        <w:rPr>
          <w:rFonts w:hint="eastAsia" w:ascii="方正黑体_GBK" w:hAnsi="方正黑体_GBK" w:eastAsia="方正黑体_GBK" w:cs="方正黑体_GBK"/>
          <w:spacing w:val="0"/>
          <w:kern w:val="2"/>
          <w:sz w:val="32"/>
          <w:szCs w:val="32"/>
          <w:lang w:val="en-US" w:eastAsia="zh-CN" w:bidi="ar"/>
        </w:rPr>
        <w:t>一、工作目标</w:t>
      </w:r>
    </w:p>
    <w:p w14:paraId="21FE5D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left"/>
        <w:textAlignment w:val="auto"/>
        <w:rPr>
          <w:rFonts w:hint="eastAsia" w:ascii="Times New Roman" w:hAnsi="Times New Roman" w:eastAsia="方正仿宋_GBK" w:cs="方正仿宋简体"/>
          <w:spacing w:val="0"/>
          <w:kern w:val="2"/>
          <w:sz w:val="32"/>
          <w:szCs w:val="32"/>
        </w:rPr>
      </w:pPr>
      <w:r>
        <w:rPr>
          <w:rFonts w:hint="eastAsia" w:ascii="方正仿宋_GBK" w:hAnsi="方正仿宋_GBK" w:eastAsia="方正仿宋_GBK" w:cs="方正仿宋_GBK"/>
          <w:spacing w:val="0"/>
          <w:kern w:val="2"/>
          <w:sz w:val="32"/>
          <w:szCs w:val="32"/>
          <w:lang w:val="en-US" w:eastAsia="zh-CN" w:bidi="ar"/>
        </w:rPr>
        <w:t>贯彻落实党中央、国务院关于深化医疗保障制度改革决策部署，积极稳妥推进基本医疗保险省级统筹，统筹考虑省内经济发展水平和基金运行实际，在国家政策框架内，逐步规范统一全省职工医保筹资和待遇保障政策，到</w:t>
      </w:r>
      <w:r>
        <w:rPr>
          <w:rFonts w:hint="default" w:ascii="Times New Roman" w:hAnsi="Times New Roman" w:eastAsia="方正仿宋_GBK" w:cs="Times New Roman"/>
          <w:spacing w:val="0"/>
          <w:kern w:val="2"/>
          <w:sz w:val="32"/>
          <w:szCs w:val="32"/>
          <w:lang w:val="en-US" w:eastAsia="zh-CN" w:bidi="ar"/>
        </w:rPr>
        <w:t>2029</w:t>
      </w:r>
      <w:r>
        <w:rPr>
          <w:rFonts w:hint="eastAsia" w:ascii="方正仿宋_GBK" w:hAnsi="方正仿宋_GBK" w:eastAsia="方正仿宋_GBK" w:cs="方正仿宋_GBK"/>
          <w:spacing w:val="0"/>
          <w:kern w:val="2"/>
          <w:sz w:val="32"/>
          <w:szCs w:val="32"/>
          <w:lang w:val="en-US" w:eastAsia="zh-CN" w:bidi="ar"/>
        </w:rPr>
        <w:t>年，基本实现全省职工医保政策更加规范，基金更加安全，群众保障更加有力</w:t>
      </w:r>
      <w:r>
        <w:rPr>
          <w:rFonts w:hint="eastAsia" w:ascii="方正仿宋_GBK" w:hAnsi="方正仿宋_GBK" w:eastAsia="方正仿宋_GBK" w:cs="方正仿宋_GBK"/>
          <w:i w:val="0"/>
          <w:caps w:val="0"/>
          <w:spacing w:val="0"/>
          <w:kern w:val="2"/>
          <w:sz w:val="32"/>
          <w:szCs w:val="32"/>
          <w:lang w:val="en-US" w:eastAsia="zh-CN" w:bidi="ar"/>
        </w:rPr>
        <w:t>。</w:t>
      </w:r>
    </w:p>
    <w:p w14:paraId="0585E92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方正黑体_GBK" w:hAnsi="Times New Roman" w:eastAsia="方正黑体_GBK" w:cs="方正仿宋简体"/>
          <w:spacing w:val="0"/>
          <w:kern w:val="2"/>
          <w:sz w:val="32"/>
          <w:szCs w:val="32"/>
        </w:rPr>
      </w:pPr>
      <w:r>
        <w:rPr>
          <w:rFonts w:hint="eastAsia" w:ascii="方正黑体_GBK" w:hAnsi="方正黑体_GBK" w:eastAsia="方正黑体_GBK" w:cs="方正黑体_GBK"/>
          <w:spacing w:val="0"/>
          <w:kern w:val="2"/>
          <w:sz w:val="32"/>
          <w:szCs w:val="32"/>
          <w:lang w:val="en-US" w:eastAsia="zh-CN" w:bidi="ar"/>
        </w:rPr>
        <w:t>二、重点任务</w:t>
      </w:r>
    </w:p>
    <w:p w14:paraId="4A84E64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方正楷体_GBK" w:hAnsi="方正楷体_GBK" w:eastAsia="方正楷体_GBK" w:cs="方正楷体_GBK"/>
          <w:spacing w:val="0"/>
          <w:kern w:val="2"/>
          <w:sz w:val="32"/>
          <w:szCs w:val="32"/>
        </w:rPr>
      </w:pPr>
      <w:r>
        <w:rPr>
          <w:rFonts w:hint="eastAsia" w:ascii="方正楷体_GBK" w:hAnsi="方正楷体_GBK" w:eastAsia="方正楷体_GBK" w:cs="方正楷体_GBK"/>
          <w:spacing w:val="0"/>
          <w:kern w:val="2"/>
          <w:sz w:val="32"/>
          <w:szCs w:val="32"/>
          <w:lang w:val="en-US" w:eastAsia="zh-CN" w:bidi="ar"/>
        </w:rPr>
        <w:t>（一）规范缴费基数与费率。</w:t>
      </w:r>
    </w:p>
    <w:p w14:paraId="1E0F5AF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_GBK" w:cs="方正仿宋简体"/>
          <w:b/>
          <w:bCs/>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1</w:t>
      </w:r>
      <w:r>
        <w:rPr>
          <w:rFonts w:hint="eastAsia" w:ascii="方正仿宋_GBK" w:hAnsi="方正仿宋_GBK" w:eastAsia="方正仿宋_GBK" w:cs="方正仿宋_GBK"/>
          <w:b/>
          <w:bCs/>
          <w:spacing w:val="0"/>
          <w:kern w:val="2"/>
          <w:sz w:val="32"/>
          <w:szCs w:val="32"/>
          <w:lang w:val="en-US" w:eastAsia="zh-CN" w:bidi="ar"/>
        </w:rPr>
        <w:t>．缴费基数。</w:t>
      </w:r>
      <w:r>
        <w:rPr>
          <w:rFonts w:hint="eastAsia" w:ascii="方正仿宋_GBK" w:hAnsi="方正仿宋_GBK" w:eastAsia="方正仿宋_GBK" w:cs="方正仿宋_GBK"/>
          <w:i w:val="0"/>
          <w:caps w:val="0"/>
          <w:spacing w:val="0"/>
          <w:kern w:val="2"/>
          <w:sz w:val="32"/>
          <w:szCs w:val="32"/>
          <w:lang w:val="en-US" w:eastAsia="zh-CN" w:bidi="ar"/>
        </w:rPr>
        <w:t>职工医保基金的缴费基数严格按照国家统计局规定的职工工资总额统计口径计算。用</w:t>
      </w:r>
      <w:r>
        <w:rPr>
          <w:rFonts w:hint="eastAsia" w:ascii="方正仿宋_GBK" w:hAnsi="方正仿宋_GBK" w:eastAsia="方正仿宋_GBK" w:cs="方正仿宋_GBK"/>
          <w:spacing w:val="0"/>
          <w:kern w:val="2"/>
          <w:sz w:val="32"/>
          <w:szCs w:val="32"/>
          <w:lang w:val="en-US" w:eastAsia="zh-CN" w:bidi="ar"/>
        </w:rPr>
        <w:t>人单位依法依规按本单位全部参保职工缴费基数之和作为缴费基数，</w:t>
      </w:r>
      <w:r>
        <w:rPr>
          <w:rFonts w:hint="eastAsia" w:ascii="方正仿宋_GBK" w:hAnsi="方正仿宋_GBK" w:eastAsia="方正仿宋_GBK" w:cs="方正仿宋_GBK"/>
          <w:b w:val="0"/>
          <w:bCs w:val="0"/>
          <w:spacing w:val="0"/>
          <w:kern w:val="2"/>
          <w:sz w:val="32"/>
          <w:szCs w:val="32"/>
          <w:lang w:val="en-US" w:eastAsia="zh-CN" w:bidi="ar"/>
        </w:rPr>
        <w:t>参保职工以本人上年度月平均工资总额作为个人缴费基数。缴费基数上下限按现行政策执行，各地不得自行降低。</w:t>
      </w:r>
    </w:p>
    <w:p w14:paraId="0ED484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_GBK" w:cs="方正仿宋简体"/>
          <w:b w:val="0"/>
          <w:bCs w:val="0"/>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2</w:t>
      </w:r>
      <w:r>
        <w:rPr>
          <w:rFonts w:hint="eastAsia" w:ascii="方正仿宋_GBK" w:hAnsi="方正仿宋_GBK" w:eastAsia="方正仿宋_GBK" w:cs="方正仿宋_GBK"/>
          <w:b/>
          <w:bCs/>
          <w:spacing w:val="0"/>
          <w:kern w:val="2"/>
          <w:sz w:val="32"/>
          <w:szCs w:val="32"/>
          <w:lang w:val="en-US" w:eastAsia="zh-CN" w:bidi="ar"/>
        </w:rPr>
        <w:t>．缴费费率。</w:t>
      </w:r>
      <w:r>
        <w:rPr>
          <w:rFonts w:hint="eastAsia" w:ascii="方正仿宋_GBK" w:hAnsi="方正仿宋_GBK" w:eastAsia="方正仿宋_GBK" w:cs="方正仿宋_GBK"/>
          <w:spacing w:val="0"/>
          <w:kern w:val="2"/>
          <w:sz w:val="32"/>
          <w:szCs w:val="32"/>
          <w:lang w:val="en-US" w:eastAsia="zh-CN" w:bidi="ar"/>
        </w:rPr>
        <w:t>全省统一确定职工医保单位基准费率（含生育保险），企业及其他单位</w:t>
      </w:r>
      <w:r>
        <w:rPr>
          <w:rFonts w:hint="default" w:ascii="Times New Roman" w:hAnsi="Times New Roman" w:eastAsia="方正仿宋_GBK" w:cs="Times New Roman"/>
          <w:spacing w:val="0"/>
          <w:kern w:val="2"/>
          <w:sz w:val="32"/>
          <w:szCs w:val="32"/>
          <w:lang w:val="en-US" w:eastAsia="zh-CN" w:bidi="ar"/>
        </w:rPr>
        <w:t>7.2%</w:t>
      </w:r>
      <w:r>
        <w:rPr>
          <w:rFonts w:hint="eastAsia" w:ascii="方正仿宋_GBK" w:hAnsi="方正仿宋_GBK" w:eastAsia="方正仿宋_GBK" w:cs="方正仿宋_GBK"/>
          <w:spacing w:val="0"/>
          <w:kern w:val="2"/>
          <w:sz w:val="32"/>
          <w:szCs w:val="32"/>
          <w:lang w:val="en-US" w:eastAsia="zh-CN" w:bidi="ar"/>
        </w:rPr>
        <w:t>（发放生育津贴）、机关事业单位</w:t>
      </w:r>
      <w:r>
        <w:rPr>
          <w:rFonts w:hint="default" w:ascii="Times New Roman" w:hAnsi="Times New Roman" w:eastAsia="方正仿宋_GBK" w:cs="Times New Roman"/>
          <w:spacing w:val="0"/>
          <w:kern w:val="2"/>
          <w:sz w:val="32"/>
          <w:szCs w:val="32"/>
          <w:lang w:val="en-US" w:eastAsia="zh-CN" w:bidi="ar"/>
        </w:rPr>
        <w:t>7%</w:t>
      </w:r>
      <w:r>
        <w:rPr>
          <w:rFonts w:hint="eastAsia" w:ascii="方正仿宋_GBK" w:hAnsi="方正仿宋_GBK" w:eastAsia="方正仿宋_GBK" w:cs="方正仿宋_GBK"/>
          <w:spacing w:val="0"/>
          <w:kern w:val="2"/>
          <w:sz w:val="32"/>
          <w:szCs w:val="32"/>
          <w:lang w:val="en-US" w:eastAsia="zh-CN" w:bidi="ar"/>
        </w:rPr>
        <w:t>，各市（含省直，下同）根据实际最多可上浮</w:t>
      </w:r>
      <w:r>
        <w:rPr>
          <w:rFonts w:hint="default" w:ascii="Times New Roman" w:hAnsi="Times New Roman" w:eastAsia="方正仿宋_GBK" w:cs="Times New Roman"/>
          <w:spacing w:val="0"/>
          <w:kern w:val="2"/>
          <w:sz w:val="32"/>
          <w:szCs w:val="32"/>
          <w:lang w:val="en-US" w:eastAsia="zh-CN" w:bidi="ar"/>
        </w:rPr>
        <w:t>0.5</w:t>
      </w:r>
      <w:r>
        <w:rPr>
          <w:rFonts w:hint="eastAsia" w:ascii="方正仿宋_GBK" w:hAnsi="方正仿宋_GBK" w:eastAsia="方正仿宋_GBK" w:cs="方正仿宋_GBK"/>
          <w:spacing w:val="0"/>
          <w:kern w:val="2"/>
          <w:sz w:val="32"/>
          <w:szCs w:val="32"/>
          <w:lang w:val="en-US" w:eastAsia="zh-CN" w:bidi="ar"/>
        </w:rPr>
        <w:t>个百分点，统筹基金累计结余超过</w:t>
      </w:r>
      <w:r>
        <w:rPr>
          <w:rFonts w:hint="default" w:ascii="Times New Roman" w:hAnsi="Times New Roman" w:eastAsia="方正仿宋_GBK" w:cs="Times New Roman"/>
          <w:spacing w:val="0"/>
          <w:kern w:val="2"/>
          <w:sz w:val="32"/>
          <w:szCs w:val="32"/>
          <w:lang w:val="en-US" w:eastAsia="zh-CN" w:bidi="ar"/>
        </w:rPr>
        <w:t>24</w:t>
      </w:r>
      <w:r>
        <w:rPr>
          <w:rFonts w:hint="eastAsia" w:ascii="方正仿宋_GBK" w:hAnsi="方正仿宋_GBK" w:eastAsia="方正仿宋_GBK" w:cs="方正仿宋_GBK"/>
          <w:spacing w:val="0"/>
          <w:kern w:val="2"/>
          <w:sz w:val="32"/>
          <w:szCs w:val="32"/>
          <w:lang w:val="en-US" w:eastAsia="zh-CN" w:bidi="ar"/>
        </w:rPr>
        <w:t>个月的市最多下浮</w:t>
      </w:r>
      <w:r>
        <w:rPr>
          <w:rFonts w:hint="default" w:ascii="Times New Roman" w:hAnsi="Times New Roman" w:eastAsia="方正仿宋_GBK" w:cs="Times New Roman"/>
          <w:spacing w:val="0"/>
          <w:kern w:val="2"/>
          <w:sz w:val="32"/>
          <w:szCs w:val="32"/>
          <w:lang w:val="en-US" w:eastAsia="zh-CN" w:bidi="ar"/>
        </w:rPr>
        <w:t>0.8</w:t>
      </w:r>
      <w:r>
        <w:rPr>
          <w:rFonts w:hint="eastAsia" w:ascii="方正仿宋_GBK" w:hAnsi="方正仿宋_GBK" w:eastAsia="方正仿宋_GBK" w:cs="方正仿宋_GBK"/>
          <w:spacing w:val="0"/>
          <w:kern w:val="2"/>
          <w:sz w:val="32"/>
          <w:szCs w:val="32"/>
          <w:lang w:val="en-US" w:eastAsia="zh-CN" w:bidi="ar"/>
        </w:rPr>
        <w:t>个百分点。</w:t>
      </w:r>
      <w:r>
        <w:rPr>
          <w:rFonts w:hint="eastAsia" w:ascii="方正仿宋_GBK" w:hAnsi="方正仿宋_GBK" w:eastAsia="方正仿宋_GBK" w:cs="方正仿宋_GBK"/>
          <w:b w:val="0"/>
          <w:bCs w:val="0"/>
          <w:spacing w:val="0"/>
          <w:kern w:val="2"/>
          <w:sz w:val="32"/>
          <w:szCs w:val="32"/>
          <w:lang w:val="en-US" w:eastAsia="zh-CN" w:bidi="ar"/>
        </w:rPr>
        <w:t>各市现行单位费率与基准费率不一致的，原则上</w:t>
      </w:r>
      <w:r>
        <w:rPr>
          <w:rFonts w:hint="default" w:ascii="Times New Roman" w:hAnsi="Times New Roman" w:eastAsia="方正仿宋_GBK" w:cs="Times New Roman"/>
          <w:b w:val="0"/>
          <w:bCs w:val="0"/>
          <w:spacing w:val="0"/>
          <w:kern w:val="2"/>
          <w:sz w:val="32"/>
          <w:szCs w:val="32"/>
          <w:lang w:val="en-US" w:eastAsia="zh-CN" w:bidi="ar"/>
        </w:rPr>
        <w:t>5</w:t>
      </w:r>
      <w:r>
        <w:rPr>
          <w:rFonts w:hint="eastAsia" w:ascii="方正仿宋_GBK" w:hAnsi="方正仿宋_GBK" w:eastAsia="方正仿宋_GBK" w:cs="方正仿宋_GBK"/>
          <w:b w:val="0"/>
          <w:bCs w:val="0"/>
          <w:spacing w:val="0"/>
          <w:kern w:val="2"/>
          <w:sz w:val="32"/>
          <w:szCs w:val="32"/>
          <w:lang w:val="en-US" w:eastAsia="zh-CN" w:bidi="ar"/>
        </w:rPr>
        <w:t>年逐步调整到位。单位缴费全部纳入统筹基金管理。个人费率为</w:t>
      </w:r>
      <w:r>
        <w:rPr>
          <w:rFonts w:hint="default" w:ascii="Times New Roman" w:hAnsi="Times New Roman" w:eastAsia="方正仿宋_GBK" w:cs="Times New Roman"/>
          <w:b w:val="0"/>
          <w:bCs w:val="0"/>
          <w:spacing w:val="0"/>
          <w:kern w:val="2"/>
          <w:sz w:val="32"/>
          <w:szCs w:val="32"/>
          <w:lang w:val="en-US" w:eastAsia="zh-CN" w:bidi="ar"/>
        </w:rPr>
        <w:t>2%</w:t>
      </w:r>
      <w:r>
        <w:rPr>
          <w:rFonts w:hint="eastAsia" w:ascii="方正仿宋_GBK" w:hAnsi="方正仿宋_GBK" w:eastAsia="方正仿宋_GBK" w:cs="方正仿宋_GBK"/>
          <w:b w:val="0"/>
          <w:bCs w:val="0"/>
          <w:spacing w:val="0"/>
          <w:kern w:val="2"/>
          <w:sz w:val="32"/>
          <w:szCs w:val="32"/>
          <w:lang w:val="en-US" w:eastAsia="zh-CN" w:bidi="ar"/>
        </w:rPr>
        <w:t>，个人缴费全部计入本人职工医保个人账户。</w:t>
      </w:r>
      <w:r>
        <w:rPr>
          <w:rFonts w:hint="eastAsia" w:ascii="方正仿宋_GBK" w:hAnsi="方正仿宋_GBK" w:eastAsia="方正仿宋_GBK" w:cs="方正仿宋_GBK"/>
          <w:spacing w:val="0"/>
          <w:kern w:val="2"/>
          <w:sz w:val="32"/>
          <w:szCs w:val="32"/>
          <w:lang w:val="en-US" w:eastAsia="zh-CN" w:bidi="ar"/>
        </w:rPr>
        <w:t>根据基金运行状况，全省统一动态调整基准费率。</w:t>
      </w:r>
    </w:p>
    <w:p w14:paraId="4D0D48F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_GBK" w:cs="方正仿宋简体"/>
          <w:b w:val="0"/>
          <w:bCs w:val="0"/>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3</w:t>
      </w:r>
      <w:r>
        <w:rPr>
          <w:rFonts w:hint="eastAsia" w:ascii="方正仿宋_GBK" w:hAnsi="方正仿宋_GBK" w:eastAsia="方正仿宋_GBK" w:cs="方正仿宋_GBK"/>
          <w:b/>
          <w:bCs/>
          <w:spacing w:val="0"/>
          <w:kern w:val="2"/>
          <w:sz w:val="32"/>
          <w:szCs w:val="32"/>
          <w:lang w:val="en-US" w:eastAsia="zh-CN" w:bidi="ar"/>
        </w:rPr>
        <w:t>．灵活就业人员缴费。</w:t>
      </w:r>
      <w:r>
        <w:rPr>
          <w:rFonts w:hint="eastAsia" w:ascii="方正仿宋_GBK" w:hAnsi="方正仿宋_GBK" w:eastAsia="方正仿宋_GBK" w:cs="方正仿宋_GBK"/>
          <w:b w:val="0"/>
          <w:bCs w:val="0"/>
          <w:spacing w:val="0"/>
          <w:kern w:val="2"/>
          <w:sz w:val="32"/>
          <w:szCs w:val="32"/>
          <w:lang w:val="en-US" w:eastAsia="zh-CN" w:bidi="ar"/>
        </w:rPr>
        <w:t>灵活就业人员参加职工医保（含生育保险），以上年度全省全口径城镇单位就业人员月平均工资的</w:t>
      </w:r>
      <w:r>
        <w:rPr>
          <w:rFonts w:hint="default" w:ascii="Times New Roman" w:hAnsi="Times New Roman" w:eastAsia="方正仿宋_GBK" w:cs="Times New Roman"/>
          <w:b w:val="0"/>
          <w:bCs w:val="0"/>
          <w:spacing w:val="0"/>
          <w:kern w:val="2"/>
          <w:sz w:val="32"/>
          <w:szCs w:val="32"/>
          <w:lang w:val="en-US" w:eastAsia="zh-CN" w:bidi="ar"/>
        </w:rPr>
        <w:t>60%</w:t>
      </w:r>
      <w:r>
        <w:rPr>
          <w:rFonts w:hint="eastAsia" w:ascii="方正仿宋_GBK" w:hAnsi="方正仿宋_GBK" w:eastAsia="方正仿宋_GBK" w:cs="方正仿宋_GBK"/>
          <w:b w:val="0"/>
          <w:bCs w:val="0"/>
          <w:spacing w:val="0"/>
          <w:kern w:val="2"/>
          <w:sz w:val="32"/>
          <w:szCs w:val="32"/>
          <w:lang w:val="en-US" w:eastAsia="zh-CN" w:bidi="ar"/>
        </w:rPr>
        <w:t>作为缴费基数，费率为参保地企业单位费率、个人费率之和，个人账户计入标准参照单位职工；也可选择按照企业单位费率缴费，不建个人账户。</w:t>
      </w:r>
    </w:p>
    <w:p w14:paraId="3C15E8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_GBK" w:cs="方正仿宋简体"/>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4</w:t>
      </w:r>
      <w:r>
        <w:rPr>
          <w:rFonts w:hint="eastAsia" w:ascii="方正仿宋_GBK" w:hAnsi="方正仿宋_GBK" w:eastAsia="方正仿宋_GBK" w:cs="方正仿宋_GBK"/>
          <w:b/>
          <w:bCs/>
          <w:spacing w:val="0"/>
          <w:kern w:val="2"/>
          <w:sz w:val="32"/>
          <w:szCs w:val="32"/>
          <w:lang w:val="en-US" w:eastAsia="zh-CN" w:bidi="ar"/>
        </w:rPr>
        <w:t>．待遇享受时间。</w:t>
      </w:r>
      <w:r>
        <w:rPr>
          <w:rFonts w:hint="eastAsia" w:ascii="方正仿宋_GBK" w:hAnsi="方正仿宋_GBK" w:eastAsia="方正仿宋_GBK" w:cs="方正仿宋_GBK"/>
          <w:b w:val="0"/>
          <w:bCs w:val="0"/>
          <w:spacing w:val="0"/>
          <w:kern w:val="2"/>
          <w:sz w:val="32"/>
          <w:szCs w:val="32"/>
          <w:lang w:val="en-US" w:eastAsia="zh-CN" w:bidi="ar"/>
        </w:rPr>
        <w:t>单位职工缴费后次月享受医保待遇，</w:t>
      </w:r>
      <w:r>
        <w:rPr>
          <w:rFonts w:hint="eastAsia" w:ascii="方正仿宋_GBK" w:hAnsi="方正仿宋_GBK" w:eastAsia="方正仿宋_GBK" w:cs="方正仿宋_GBK"/>
          <w:spacing w:val="0"/>
          <w:kern w:val="2"/>
          <w:sz w:val="32"/>
          <w:szCs w:val="32"/>
          <w:lang w:val="en-US" w:eastAsia="zh-CN" w:bidi="ar"/>
        </w:rPr>
        <w:t>灵活就业人员首次参加职工医保的，按规定连续缴费</w:t>
      </w:r>
      <w:r>
        <w:rPr>
          <w:rFonts w:hint="default" w:ascii="Times New Roman" w:hAnsi="Times New Roman" w:eastAsia="方正仿宋_GBK" w:cs="Times New Roman"/>
          <w:spacing w:val="0"/>
          <w:kern w:val="2"/>
          <w:sz w:val="32"/>
          <w:szCs w:val="32"/>
          <w:lang w:val="en-US" w:eastAsia="zh-CN" w:bidi="ar"/>
        </w:rPr>
        <w:t>3</w:t>
      </w:r>
      <w:r>
        <w:rPr>
          <w:rFonts w:hint="eastAsia" w:ascii="方正仿宋_GBK" w:hAnsi="方正仿宋_GBK" w:eastAsia="方正仿宋_GBK" w:cs="方正仿宋_GBK"/>
          <w:spacing w:val="0"/>
          <w:kern w:val="2"/>
          <w:sz w:val="32"/>
          <w:szCs w:val="32"/>
          <w:lang w:val="en-US" w:eastAsia="zh-CN" w:bidi="ar"/>
        </w:rPr>
        <w:t>个月后享受职工医保待遇</w:t>
      </w:r>
      <w:r>
        <w:rPr>
          <w:rFonts w:hint="eastAsia" w:ascii="方正仿宋_GBK" w:hAnsi="方正仿宋_GBK" w:eastAsia="方正仿宋_GBK" w:cs="方正仿宋_GBK"/>
          <w:spacing w:val="6"/>
          <w:kern w:val="2"/>
          <w:sz w:val="32"/>
          <w:szCs w:val="32"/>
          <w:lang w:val="en-US" w:eastAsia="zh-CN" w:bidi="ar"/>
        </w:rPr>
        <w:t>。单位职工、参加职工医保的灵活就业人员中断缴费或办理基本医保关系</w:t>
      </w:r>
      <w:r>
        <w:rPr>
          <w:rFonts w:hint="eastAsia" w:ascii="方正仿宋_GBK" w:hAnsi="方正仿宋_GBK" w:eastAsia="方正仿宋_GBK" w:cs="方正仿宋_GBK"/>
          <w:spacing w:val="0"/>
          <w:kern w:val="2"/>
          <w:sz w:val="32"/>
          <w:szCs w:val="32"/>
          <w:lang w:val="en-US" w:eastAsia="zh-CN" w:bidi="ar"/>
        </w:rPr>
        <w:t>转移接续的</w:t>
      </w:r>
      <w:r>
        <w:rPr>
          <w:rFonts w:hint="eastAsia" w:ascii="方正仿宋_GBK" w:hAnsi="方正仿宋_GBK" w:eastAsia="方正仿宋_GBK" w:cs="方正仿宋_GBK"/>
          <w:spacing w:val="6"/>
          <w:kern w:val="2"/>
          <w:sz w:val="32"/>
          <w:szCs w:val="32"/>
          <w:lang w:val="en-US" w:eastAsia="zh-CN" w:bidi="ar"/>
        </w:rPr>
        <w:t>，在</w:t>
      </w:r>
      <w:r>
        <w:rPr>
          <w:rFonts w:hint="default" w:ascii="Times New Roman" w:hAnsi="Times New Roman" w:eastAsia="方正仿宋_GBK" w:cs="Times New Roman"/>
          <w:spacing w:val="6"/>
          <w:kern w:val="2"/>
          <w:sz w:val="32"/>
          <w:szCs w:val="32"/>
          <w:lang w:val="en-US" w:eastAsia="zh-CN" w:bidi="ar"/>
        </w:rPr>
        <w:t>3</w:t>
      </w:r>
      <w:r>
        <w:rPr>
          <w:rFonts w:hint="eastAsia" w:ascii="方正仿宋_GBK" w:hAnsi="方正仿宋_GBK" w:eastAsia="方正仿宋_GBK" w:cs="方正仿宋_GBK"/>
          <w:spacing w:val="6"/>
          <w:kern w:val="2"/>
          <w:sz w:val="32"/>
          <w:szCs w:val="32"/>
          <w:lang w:val="en-US" w:eastAsia="zh-CN" w:bidi="ar"/>
        </w:rPr>
        <w:t>个月内恢复正常缴费且补足中断期间基本医保费的，缴费当月即可按规定享受待遇，中断期间的医疗费用医保基金按规定予以</w:t>
      </w:r>
      <w:r>
        <w:rPr>
          <w:rFonts w:hint="eastAsia" w:ascii="方正仿宋_GBK" w:hAnsi="方正仿宋_GBK" w:eastAsia="方正仿宋_GBK" w:cs="方正仿宋_GBK"/>
          <w:spacing w:val="0"/>
          <w:kern w:val="2"/>
          <w:sz w:val="32"/>
          <w:szCs w:val="32"/>
          <w:lang w:val="en-US" w:eastAsia="zh-CN" w:bidi="ar"/>
        </w:rPr>
        <w:t>支付；单位职工中断缴费超过</w:t>
      </w:r>
      <w:r>
        <w:rPr>
          <w:rFonts w:hint="default" w:ascii="Times New Roman" w:hAnsi="Times New Roman" w:eastAsia="方正仿宋_GBK" w:cs="Times New Roman"/>
          <w:spacing w:val="0"/>
          <w:kern w:val="2"/>
          <w:sz w:val="32"/>
          <w:szCs w:val="32"/>
          <w:lang w:val="en-US" w:eastAsia="zh-CN" w:bidi="ar"/>
        </w:rPr>
        <w:t>3</w:t>
      </w:r>
      <w:r>
        <w:rPr>
          <w:rFonts w:hint="eastAsia" w:ascii="方正仿宋_GBK" w:hAnsi="方正仿宋_GBK" w:eastAsia="方正仿宋_GBK" w:cs="方正仿宋_GBK"/>
          <w:spacing w:val="0"/>
          <w:kern w:val="2"/>
          <w:sz w:val="32"/>
          <w:szCs w:val="32"/>
          <w:lang w:val="en-US" w:eastAsia="zh-CN" w:bidi="ar"/>
        </w:rPr>
        <w:t>个月后</w:t>
      </w:r>
      <w:r>
        <w:rPr>
          <w:rFonts w:hint="eastAsia" w:ascii="方正仿宋_GBK" w:hAnsi="方正仿宋_GBK" w:eastAsia="方正仿宋_GBK" w:cs="方正仿宋_GBK"/>
          <w:spacing w:val="6"/>
          <w:kern w:val="2"/>
          <w:sz w:val="32"/>
          <w:szCs w:val="32"/>
          <w:lang w:val="en-US" w:eastAsia="zh-CN" w:bidi="ar"/>
        </w:rPr>
        <w:t>重新缴费的，自足额补缴次月起享受待遇，中断期间费用医保基金不予支付；灵活就业人员中断缴费超</w:t>
      </w:r>
      <w:r>
        <w:rPr>
          <w:rFonts w:hint="eastAsia" w:ascii="方正仿宋_GBK" w:hAnsi="方正仿宋_GBK" w:eastAsia="方正仿宋_GBK" w:cs="方正仿宋_GBK"/>
          <w:spacing w:val="0"/>
          <w:kern w:val="2"/>
          <w:sz w:val="32"/>
          <w:szCs w:val="32"/>
          <w:lang w:val="en-US" w:eastAsia="zh-CN" w:bidi="ar"/>
        </w:rPr>
        <w:t>过</w:t>
      </w:r>
      <w:r>
        <w:rPr>
          <w:rFonts w:hint="default" w:ascii="Times New Roman" w:hAnsi="Times New Roman" w:eastAsia="方正仿宋_GBK" w:cs="Times New Roman"/>
          <w:spacing w:val="0"/>
          <w:kern w:val="2"/>
          <w:sz w:val="32"/>
          <w:szCs w:val="32"/>
          <w:lang w:val="en-US" w:eastAsia="zh-CN" w:bidi="ar"/>
        </w:rPr>
        <w:t>3</w:t>
      </w:r>
      <w:r>
        <w:rPr>
          <w:rFonts w:hint="eastAsia" w:ascii="方正仿宋_GBK" w:hAnsi="方正仿宋_GBK" w:eastAsia="方正仿宋_GBK" w:cs="方正仿宋_GBK"/>
          <w:spacing w:val="0"/>
          <w:kern w:val="2"/>
          <w:sz w:val="32"/>
          <w:szCs w:val="32"/>
          <w:lang w:val="en-US" w:eastAsia="zh-CN" w:bidi="ar"/>
        </w:rPr>
        <w:t>个月后重新缴费的，</w:t>
      </w:r>
      <w:r>
        <w:rPr>
          <w:rFonts w:hint="eastAsia" w:ascii="方正仿宋_GBK" w:hAnsi="方正仿宋_GBK" w:eastAsia="方正仿宋_GBK" w:cs="方正仿宋_GBK"/>
          <w:spacing w:val="0"/>
          <w:kern w:val="0"/>
          <w:sz w:val="32"/>
          <w:szCs w:val="32"/>
          <w:shd w:val="clear" w:fill="FFFFFF"/>
          <w:lang w:val="en-US" w:eastAsia="zh-CN" w:bidi="ar"/>
        </w:rPr>
        <w:t>在连续缴费</w:t>
      </w:r>
      <w:r>
        <w:rPr>
          <w:rFonts w:hint="default" w:ascii="Times New Roman" w:hAnsi="Times New Roman" w:eastAsia="方正仿宋_GBK" w:cs="Times New Roman"/>
          <w:spacing w:val="0"/>
          <w:kern w:val="0"/>
          <w:sz w:val="32"/>
          <w:szCs w:val="32"/>
          <w:shd w:val="clear" w:fill="FFFFFF"/>
          <w:lang w:val="en-US" w:eastAsia="zh-CN" w:bidi="ar"/>
        </w:rPr>
        <w:t>3</w:t>
      </w:r>
      <w:r>
        <w:rPr>
          <w:rFonts w:hint="eastAsia" w:ascii="方正仿宋_GBK" w:hAnsi="方正仿宋_GBK" w:eastAsia="方正仿宋_GBK" w:cs="方正仿宋_GBK"/>
          <w:spacing w:val="0"/>
          <w:kern w:val="0"/>
          <w:sz w:val="32"/>
          <w:szCs w:val="32"/>
          <w:shd w:val="clear" w:fill="FFFFFF"/>
          <w:lang w:val="en-US" w:eastAsia="zh-CN" w:bidi="ar"/>
        </w:rPr>
        <w:t>个月后的次月享受职工医保待遇。</w:t>
      </w:r>
    </w:p>
    <w:p w14:paraId="25D6DDE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方正楷体_GBK" w:hAnsi="方正楷体_GBK" w:eastAsia="方正楷体_GBK" w:cs="方正楷体_GBK"/>
          <w:spacing w:val="0"/>
          <w:kern w:val="2"/>
          <w:sz w:val="32"/>
          <w:szCs w:val="32"/>
        </w:rPr>
      </w:pPr>
      <w:r>
        <w:rPr>
          <w:rFonts w:hint="eastAsia" w:ascii="方正楷体_GBK" w:hAnsi="方正楷体_GBK" w:eastAsia="方正楷体_GBK" w:cs="方正楷体_GBK"/>
          <w:spacing w:val="0"/>
          <w:kern w:val="2"/>
          <w:sz w:val="32"/>
          <w:szCs w:val="32"/>
          <w:lang w:val="en-US" w:eastAsia="zh-CN" w:bidi="ar"/>
        </w:rPr>
        <w:t>（二）规范缴费年限。</w:t>
      </w:r>
    </w:p>
    <w:p w14:paraId="73D576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职工医保</w:t>
      </w:r>
      <w:r>
        <w:rPr>
          <w:rFonts w:hint="eastAsia" w:ascii="方正仿宋_GBK" w:hAnsi="方正仿宋_GBK" w:eastAsia="方正仿宋_GBK" w:cs="方正仿宋_GBK"/>
          <w:spacing w:val="0"/>
          <w:kern w:val="2"/>
          <w:sz w:val="32"/>
          <w:szCs w:val="32"/>
          <w:lang w:val="en-US" w:eastAsia="zh-CN" w:bidi="ar"/>
        </w:rPr>
        <w:t>累计缴费年限包括视同缴费年限和实际缴费年限，视同缴费年限指各市建立职工医保制度前，国家承认的工龄，实际缴费年限指职工医保制度建立后，参加职工医保实际缴费的年限（包括军人服现役年限）。</w:t>
      </w:r>
    </w:p>
    <w:p w14:paraId="004DC1F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_GBK" w:cs="方正仿宋简体"/>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1</w:t>
      </w:r>
      <w:r>
        <w:rPr>
          <w:rFonts w:hint="eastAsia" w:ascii="方正仿宋_GBK" w:hAnsi="方正仿宋_GBK" w:eastAsia="方正仿宋_GBK" w:cs="方正仿宋_GBK"/>
          <w:b/>
          <w:bCs/>
          <w:spacing w:val="0"/>
          <w:kern w:val="2"/>
          <w:sz w:val="32"/>
          <w:szCs w:val="32"/>
          <w:lang w:val="en-US" w:eastAsia="zh-CN" w:bidi="ar"/>
        </w:rPr>
        <w:t>．缴费年限。</w:t>
      </w:r>
      <w:r>
        <w:rPr>
          <w:rFonts w:hint="eastAsia" w:ascii="方正仿宋_GBK" w:hAnsi="方正仿宋_GBK" w:eastAsia="方正仿宋_GBK" w:cs="方正仿宋_GBK"/>
          <w:spacing w:val="0"/>
          <w:kern w:val="2"/>
          <w:sz w:val="32"/>
          <w:szCs w:val="32"/>
          <w:lang w:val="en-US" w:eastAsia="zh-CN" w:bidi="ar"/>
        </w:rPr>
        <w:t>职工医保累计缴费年限逐步统一为男职工不低于</w:t>
      </w:r>
      <w:r>
        <w:rPr>
          <w:rFonts w:hint="default" w:ascii="Times New Roman" w:hAnsi="Times New Roman" w:eastAsia="方正仿宋_GBK" w:cs="Times New Roman"/>
          <w:spacing w:val="0"/>
          <w:kern w:val="2"/>
          <w:sz w:val="32"/>
          <w:szCs w:val="32"/>
          <w:lang w:val="en-US" w:eastAsia="zh-CN" w:bidi="ar"/>
        </w:rPr>
        <w:t>30</w:t>
      </w:r>
      <w:r>
        <w:rPr>
          <w:rFonts w:hint="eastAsia" w:ascii="方正仿宋_GBK" w:hAnsi="方正仿宋_GBK" w:eastAsia="方正仿宋_GBK" w:cs="方正仿宋_GBK"/>
          <w:spacing w:val="0"/>
          <w:kern w:val="2"/>
          <w:sz w:val="32"/>
          <w:szCs w:val="32"/>
          <w:lang w:val="en-US" w:eastAsia="zh-CN" w:bidi="ar"/>
        </w:rPr>
        <w:t>年、女职工不低于</w:t>
      </w:r>
      <w:r>
        <w:rPr>
          <w:rFonts w:hint="default" w:ascii="Times New Roman" w:hAnsi="Times New Roman" w:eastAsia="方正仿宋_GBK" w:cs="Times New Roman"/>
          <w:spacing w:val="0"/>
          <w:kern w:val="2"/>
          <w:sz w:val="32"/>
          <w:szCs w:val="32"/>
          <w:lang w:val="en-US" w:eastAsia="zh-CN" w:bidi="ar"/>
        </w:rPr>
        <w:t>25</w:t>
      </w:r>
      <w:r>
        <w:rPr>
          <w:rFonts w:hint="eastAsia" w:ascii="方正仿宋_GBK" w:hAnsi="方正仿宋_GBK" w:eastAsia="方正仿宋_GBK" w:cs="方正仿宋_GBK"/>
          <w:spacing w:val="0"/>
          <w:kern w:val="2"/>
          <w:sz w:val="32"/>
          <w:szCs w:val="32"/>
          <w:lang w:val="en-US" w:eastAsia="zh-CN" w:bidi="ar"/>
        </w:rPr>
        <w:t>年，且实际缴费年限不低于</w:t>
      </w:r>
      <w:r>
        <w:rPr>
          <w:rFonts w:hint="default" w:ascii="Times New Roman" w:hAnsi="Times New Roman" w:eastAsia="方正仿宋_GBK" w:cs="Times New Roman"/>
          <w:spacing w:val="0"/>
          <w:kern w:val="2"/>
          <w:sz w:val="32"/>
          <w:szCs w:val="32"/>
          <w:lang w:val="en-US" w:eastAsia="zh-CN" w:bidi="ar"/>
        </w:rPr>
        <w:t>15</w:t>
      </w:r>
      <w:r>
        <w:rPr>
          <w:rFonts w:hint="eastAsia" w:ascii="方正仿宋_GBK" w:hAnsi="方正仿宋_GBK" w:eastAsia="方正仿宋_GBK" w:cs="方正仿宋_GBK"/>
          <w:spacing w:val="0"/>
          <w:kern w:val="2"/>
          <w:sz w:val="32"/>
          <w:szCs w:val="32"/>
          <w:lang w:val="en-US" w:eastAsia="zh-CN" w:bidi="ar"/>
        </w:rPr>
        <w:t>年。</w:t>
      </w:r>
      <w:r>
        <w:rPr>
          <w:rFonts w:hint="eastAsia" w:ascii="方正仿宋_GBK" w:hAnsi="方正仿宋_GBK" w:eastAsia="方正仿宋_GBK" w:cs="方正仿宋_GBK"/>
          <w:b w:val="0"/>
          <w:bCs w:val="0"/>
          <w:spacing w:val="0"/>
          <w:kern w:val="2"/>
          <w:sz w:val="32"/>
          <w:szCs w:val="32"/>
          <w:lang w:val="en-US" w:eastAsia="zh-CN" w:bidi="ar"/>
        </w:rPr>
        <w:t>职工医保参保人员达到法定退休年龄，且缴费年限符合参保地规定的，按规定办理在职转退休手续后，可享受退休人员职工医保待遇；缴费年限未达到参保地规定的，可继续缴费至规定年限，或在办理在职转退休手续时一次性缴费至规定年限。</w:t>
      </w:r>
    </w:p>
    <w:p w14:paraId="398A449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方正仿宋_GBK" w:hAnsi="方正仿宋_GBK" w:eastAsia="方正仿宋_GBK" w:cs="方正仿宋_GBK"/>
          <w:b w:val="0"/>
          <w:bCs w:val="0"/>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2</w:t>
      </w:r>
      <w:r>
        <w:rPr>
          <w:rFonts w:hint="eastAsia" w:ascii="方正仿宋_GBK" w:hAnsi="方正仿宋_GBK" w:eastAsia="方正仿宋_GBK" w:cs="方正仿宋_GBK"/>
          <w:b/>
          <w:bCs/>
          <w:spacing w:val="0"/>
          <w:kern w:val="2"/>
          <w:sz w:val="32"/>
          <w:szCs w:val="32"/>
          <w:lang w:val="en-US" w:eastAsia="zh-CN" w:bidi="ar"/>
        </w:rPr>
        <w:t>．转移接续。</w:t>
      </w:r>
      <w:r>
        <w:rPr>
          <w:rFonts w:hint="eastAsia" w:ascii="方正仿宋_GBK" w:hAnsi="方正仿宋_GBK" w:eastAsia="方正仿宋_GBK" w:cs="方正仿宋_GBK"/>
          <w:b w:val="0"/>
          <w:bCs w:val="0"/>
          <w:spacing w:val="0"/>
          <w:kern w:val="2"/>
          <w:sz w:val="32"/>
          <w:szCs w:val="32"/>
          <w:lang w:val="en-US" w:eastAsia="zh-CN" w:bidi="ar"/>
        </w:rPr>
        <w:t>职工医保参保人员跨统筹区流动的，基本医疗保险缴费年限互认并累计计算。</w:t>
      </w:r>
    </w:p>
    <w:p w14:paraId="1EA83D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方正仿宋_GBK" w:hAnsi="方正仿宋_GBK" w:eastAsia="方正仿宋_GBK" w:cs="方正仿宋_GBK"/>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3</w:t>
      </w:r>
      <w:r>
        <w:rPr>
          <w:rFonts w:hint="eastAsia" w:ascii="方正仿宋_GBK" w:hAnsi="方正仿宋_GBK" w:eastAsia="方正仿宋_GBK" w:cs="方正仿宋_GBK"/>
          <w:b/>
          <w:bCs/>
          <w:spacing w:val="0"/>
          <w:kern w:val="2"/>
          <w:sz w:val="32"/>
          <w:szCs w:val="32"/>
          <w:lang w:val="en-US" w:eastAsia="zh-CN" w:bidi="ar"/>
        </w:rPr>
        <w:t>．过渡期有关规定。</w:t>
      </w:r>
      <w:r>
        <w:rPr>
          <w:rFonts w:hint="eastAsia" w:ascii="方正仿宋_GBK" w:hAnsi="方正仿宋_GBK" w:eastAsia="方正仿宋_GBK" w:cs="方正仿宋_GBK"/>
          <w:spacing w:val="0"/>
          <w:kern w:val="2"/>
          <w:sz w:val="32"/>
          <w:szCs w:val="32"/>
          <w:lang w:val="en-US" w:eastAsia="zh-CN" w:bidi="ar"/>
        </w:rPr>
        <w:t>各市现行职工医保缴费年限与上述规定不一致的，可通过逐年增加一定年限的方式逐步过渡，原则上</w:t>
      </w:r>
      <w:r>
        <w:rPr>
          <w:rFonts w:hint="default" w:ascii="Times New Roman" w:hAnsi="Times New Roman" w:eastAsia="方正仿宋_GBK" w:cs="Times New Roman"/>
          <w:spacing w:val="0"/>
          <w:kern w:val="2"/>
          <w:sz w:val="32"/>
          <w:szCs w:val="32"/>
          <w:lang w:val="en-US" w:eastAsia="zh-CN" w:bidi="ar"/>
        </w:rPr>
        <w:t>2029</w:t>
      </w:r>
      <w:r>
        <w:rPr>
          <w:rFonts w:hint="eastAsia" w:ascii="方正仿宋_GBK" w:hAnsi="方正仿宋_GBK" w:eastAsia="方正仿宋_GBK" w:cs="方正仿宋_GBK"/>
          <w:spacing w:val="0"/>
          <w:kern w:val="2"/>
          <w:sz w:val="32"/>
          <w:szCs w:val="32"/>
          <w:lang w:val="en-US" w:eastAsia="zh-CN" w:bidi="ar"/>
        </w:rPr>
        <w:t>年底前实现全省统一。</w:t>
      </w:r>
    </w:p>
    <w:p w14:paraId="48B19C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方正楷体_GBK" w:hAnsi="方正楷体_GBK" w:eastAsia="方正楷体_GBK" w:cs="方正楷体_GBK"/>
          <w:spacing w:val="0"/>
          <w:kern w:val="2"/>
          <w:sz w:val="32"/>
          <w:szCs w:val="32"/>
        </w:rPr>
      </w:pPr>
      <w:r>
        <w:rPr>
          <w:rFonts w:hint="eastAsia" w:ascii="方正楷体_GBK" w:hAnsi="方正楷体_GBK" w:eastAsia="方正楷体_GBK" w:cs="方正楷体_GBK"/>
          <w:spacing w:val="0"/>
          <w:kern w:val="2"/>
          <w:sz w:val="32"/>
          <w:szCs w:val="32"/>
          <w:lang w:val="en-US" w:eastAsia="zh-CN" w:bidi="ar"/>
        </w:rPr>
        <w:t>（三）规范待遇政策。</w:t>
      </w:r>
    </w:p>
    <w:p w14:paraId="29313D6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b w:val="0"/>
          <w:bCs w:val="0"/>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按照“以收定支、收支平衡”的原则规范全省待遇保障政策，并动态调整。</w:t>
      </w:r>
    </w:p>
    <w:p w14:paraId="0AB1DF0A">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_GBK" w:cs="方正仿宋简体"/>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1</w:t>
      </w:r>
      <w:r>
        <w:rPr>
          <w:rFonts w:hint="eastAsia" w:ascii="方正仿宋_GBK" w:hAnsi="方正仿宋_GBK" w:eastAsia="方正仿宋_GBK" w:cs="方正仿宋_GBK"/>
          <w:b/>
          <w:bCs/>
          <w:spacing w:val="0"/>
          <w:kern w:val="2"/>
          <w:sz w:val="32"/>
          <w:szCs w:val="32"/>
          <w:lang w:val="en-US" w:eastAsia="zh-CN" w:bidi="ar"/>
        </w:rPr>
        <w:t>．职工基本医疗保险。</w:t>
      </w:r>
      <w:r>
        <w:rPr>
          <w:rFonts w:hint="eastAsia" w:ascii="方正仿宋_GBK" w:hAnsi="方正仿宋_GBK" w:eastAsia="方正仿宋_GBK" w:cs="方正仿宋_GBK"/>
          <w:spacing w:val="0"/>
          <w:kern w:val="2"/>
          <w:sz w:val="32"/>
          <w:szCs w:val="32"/>
          <w:lang w:val="en-US" w:eastAsia="zh-CN" w:bidi="ar"/>
        </w:rPr>
        <w:t>一个自然年度内，参保职工在医保定点医药机构发生的政策范围内医药费用，基本医保统筹基金年度最高支付</w:t>
      </w:r>
      <w:r>
        <w:rPr>
          <w:rFonts w:hint="default" w:ascii="Times New Roman" w:hAnsi="Times New Roman" w:eastAsia="方正仿宋_GBK" w:cs="Times New Roman"/>
          <w:spacing w:val="0"/>
          <w:kern w:val="2"/>
          <w:sz w:val="32"/>
          <w:szCs w:val="32"/>
          <w:lang w:val="en-US" w:eastAsia="zh-CN" w:bidi="ar"/>
        </w:rPr>
        <w:t>40</w:t>
      </w:r>
      <w:r>
        <w:rPr>
          <w:rFonts w:hint="eastAsia" w:ascii="方正仿宋_GBK" w:hAnsi="方正仿宋_GBK" w:eastAsia="方正仿宋_GBK" w:cs="方正仿宋_GBK"/>
          <w:spacing w:val="0"/>
          <w:kern w:val="2"/>
          <w:sz w:val="32"/>
          <w:szCs w:val="32"/>
          <w:lang w:val="en-US" w:eastAsia="zh-CN" w:bidi="ar"/>
        </w:rPr>
        <w:t>万元。</w:t>
      </w:r>
    </w:p>
    <w:p w14:paraId="0CFAC62B">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1</w:t>
      </w:r>
      <w:r>
        <w:rPr>
          <w:rFonts w:hint="eastAsia" w:ascii="方正仿宋_GBK" w:hAnsi="方正仿宋_GBK" w:eastAsia="方正仿宋_GBK" w:cs="方正仿宋_GBK"/>
          <w:b w:val="0"/>
          <w:bCs w:val="0"/>
          <w:spacing w:val="0"/>
          <w:kern w:val="2"/>
          <w:sz w:val="32"/>
          <w:szCs w:val="32"/>
          <w:lang w:val="en-US" w:eastAsia="zh-CN" w:bidi="ar"/>
        </w:rPr>
        <w:t>）普通门诊。统一执行全省</w:t>
      </w:r>
      <w:r>
        <w:rPr>
          <w:rFonts w:hint="eastAsia" w:ascii="方正仿宋_GBK" w:hAnsi="方正仿宋_GBK" w:eastAsia="方正仿宋_GBK" w:cs="方正仿宋_GBK"/>
          <w:spacing w:val="0"/>
          <w:kern w:val="2"/>
          <w:sz w:val="32"/>
          <w:szCs w:val="32"/>
          <w:lang w:val="en-US" w:eastAsia="zh-CN" w:bidi="ar"/>
        </w:rPr>
        <w:t>规定的职工医保普通门诊待遇政策，适时动态调整。</w:t>
      </w:r>
    </w:p>
    <w:p w14:paraId="3DCB0D96">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方正仿宋_GBK" w:hAnsi="方正仿宋_GBK" w:eastAsia="方正仿宋_GBK" w:cs="方正仿宋_GBK"/>
          <w:b w:val="0"/>
          <w:bCs w:val="0"/>
          <w:spacing w:val="0"/>
          <w:kern w:val="2"/>
          <w:sz w:val="32"/>
          <w:szCs w:val="32"/>
        </w:rPr>
      </w:pPr>
      <w:r>
        <w:rPr>
          <w:rFonts w:hint="eastAsia" w:ascii="方正仿宋_GBK" w:hAnsi="方正仿宋_GBK" w:eastAsia="方正仿宋_GBK" w:cs="方正仿宋_GBK"/>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2</w:t>
      </w:r>
      <w:r>
        <w:rPr>
          <w:rFonts w:hint="eastAsia" w:ascii="方正仿宋_GBK" w:hAnsi="方正仿宋_GBK" w:eastAsia="方正仿宋_GBK" w:cs="方正仿宋_GBK"/>
          <w:spacing w:val="0"/>
          <w:kern w:val="2"/>
          <w:sz w:val="32"/>
          <w:szCs w:val="32"/>
          <w:lang w:val="en-US" w:eastAsia="zh-CN" w:bidi="ar"/>
        </w:rPr>
        <w:t>）</w:t>
      </w:r>
      <w:r>
        <w:rPr>
          <w:rFonts w:hint="eastAsia" w:ascii="方正仿宋_GBK" w:hAnsi="方正仿宋_GBK" w:eastAsia="方正仿宋_GBK" w:cs="方正仿宋_GBK"/>
          <w:b w:val="0"/>
          <w:bCs w:val="0"/>
          <w:spacing w:val="0"/>
          <w:kern w:val="2"/>
          <w:sz w:val="32"/>
          <w:szCs w:val="32"/>
          <w:lang w:val="en-US" w:eastAsia="zh-CN" w:bidi="ar"/>
        </w:rPr>
        <w:t>慢特病门诊。执行全省统一的门诊慢特病病种目录、认定标准、病种编码，</w:t>
      </w:r>
      <w:r>
        <w:rPr>
          <w:rFonts w:hint="eastAsia" w:ascii="方正仿宋_GBK" w:hAnsi="方正仿宋_GBK" w:eastAsia="方正仿宋_GBK" w:cs="方正仿宋_GBK"/>
          <w:spacing w:val="0"/>
          <w:kern w:val="2"/>
          <w:sz w:val="32"/>
          <w:szCs w:val="32"/>
          <w:lang w:val="en-US" w:eastAsia="zh-CN" w:bidi="ar"/>
        </w:rPr>
        <w:t>各统筹区不得自行新增门诊慢特病病种。参保职工患有多种门诊慢特病的，年度内只计算一次起付线。过渡期内具体报销待遇由各市确定，原则上</w:t>
      </w:r>
      <w:r>
        <w:rPr>
          <w:rFonts w:hint="default" w:ascii="Times New Roman" w:hAnsi="Times New Roman" w:eastAsia="方正仿宋_GBK" w:cs="Times New Roman"/>
          <w:spacing w:val="0"/>
          <w:kern w:val="2"/>
          <w:sz w:val="32"/>
          <w:szCs w:val="32"/>
          <w:lang w:val="en-US" w:eastAsia="zh-CN" w:bidi="ar"/>
        </w:rPr>
        <w:t>2029</w:t>
      </w:r>
      <w:r>
        <w:rPr>
          <w:rFonts w:hint="eastAsia" w:ascii="方正仿宋_GBK" w:hAnsi="方正仿宋_GBK" w:eastAsia="方正仿宋_GBK" w:cs="方正仿宋_GBK"/>
          <w:spacing w:val="0"/>
          <w:kern w:val="2"/>
          <w:sz w:val="32"/>
          <w:szCs w:val="32"/>
          <w:lang w:val="en-US" w:eastAsia="zh-CN" w:bidi="ar"/>
        </w:rPr>
        <w:t>年底前保障范围和保障水平逐步过渡到全省统一。</w:t>
      </w:r>
    </w:p>
    <w:p w14:paraId="69D74DB4">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b w:val="0"/>
          <w:bCs w:val="0"/>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3</w:t>
      </w:r>
      <w:r>
        <w:rPr>
          <w:rFonts w:hint="eastAsia" w:ascii="方正仿宋_GBK" w:hAnsi="方正仿宋_GBK" w:eastAsia="方正仿宋_GBK" w:cs="方正仿宋_GBK"/>
          <w:b w:val="0"/>
          <w:bCs w:val="0"/>
          <w:spacing w:val="0"/>
          <w:kern w:val="2"/>
          <w:sz w:val="32"/>
          <w:szCs w:val="32"/>
          <w:lang w:val="en-US" w:eastAsia="zh-CN" w:bidi="ar"/>
        </w:rPr>
        <w:t>）</w:t>
      </w:r>
      <w:r>
        <w:rPr>
          <w:rFonts w:hint="eastAsia" w:ascii="方正仿宋_GBK" w:hAnsi="方正仿宋_GBK" w:eastAsia="方正仿宋_GBK" w:cs="方正仿宋_GBK"/>
          <w:spacing w:val="0"/>
          <w:kern w:val="2"/>
          <w:sz w:val="32"/>
          <w:szCs w:val="32"/>
          <w:lang w:val="en-US" w:eastAsia="zh-CN" w:bidi="ar"/>
        </w:rPr>
        <w:t>辅助生殖门诊。</w:t>
      </w:r>
      <w:r>
        <w:rPr>
          <w:rFonts w:hint="eastAsia" w:ascii="方正仿宋_GBK" w:hAnsi="方正仿宋_GBK" w:eastAsia="方正仿宋_GBK" w:cs="方正仿宋_GBK"/>
          <w:b w:val="0"/>
          <w:bCs w:val="0"/>
          <w:spacing w:val="0"/>
          <w:kern w:val="2"/>
          <w:sz w:val="32"/>
          <w:szCs w:val="32"/>
          <w:lang w:val="en-US" w:eastAsia="zh-CN" w:bidi="ar"/>
        </w:rPr>
        <w:t>统一执行全省</w:t>
      </w:r>
      <w:r>
        <w:rPr>
          <w:rFonts w:hint="eastAsia" w:ascii="方正仿宋_GBK" w:hAnsi="方正仿宋_GBK" w:eastAsia="方正仿宋_GBK" w:cs="方正仿宋_GBK"/>
          <w:spacing w:val="0"/>
          <w:kern w:val="2"/>
          <w:sz w:val="32"/>
          <w:szCs w:val="32"/>
          <w:lang w:val="en-US" w:eastAsia="zh-CN" w:bidi="ar"/>
        </w:rPr>
        <w:t>规定的职工医保辅助生殖门诊待遇政策。根据参保职工保障需求和医保基金承受能力，逐步动态调整。</w:t>
      </w:r>
    </w:p>
    <w:p w14:paraId="79BDB399">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b w:val="0"/>
          <w:bCs w:val="0"/>
          <w:spacing w:val="-6"/>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4</w:t>
      </w:r>
      <w:r>
        <w:rPr>
          <w:rFonts w:hint="eastAsia" w:ascii="方正仿宋_GBK" w:hAnsi="方正仿宋_GBK" w:eastAsia="方正仿宋_GBK" w:cs="方正仿宋_GBK"/>
          <w:b w:val="0"/>
          <w:bCs w:val="0"/>
          <w:spacing w:val="0"/>
          <w:kern w:val="2"/>
          <w:sz w:val="32"/>
          <w:szCs w:val="32"/>
          <w:lang w:val="en-US" w:eastAsia="zh-CN" w:bidi="ar"/>
        </w:rPr>
        <w:t>）住院</w:t>
      </w:r>
      <w:r>
        <w:rPr>
          <w:rFonts w:hint="eastAsia" w:ascii="方正仿宋_GBK" w:hAnsi="方正仿宋_GBK" w:eastAsia="方正仿宋_GBK" w:cs="方正仿宋_GBK"/>
          <w:b w:val="0"/>
          <w:bCs w:val="0"/>
          <w:spacing w:val="-6"/>
          <w:kern w:val="2"/>
          <w:sz w:val="32"/>
          <w:szCs w:val="32"/>
          <w:lang w:val="en-US" w:eastAsia="zh-CN" w:bidi="ar"/>
        </w:rPr>
        <w:t>。</w:t>
      </w:r>
      <w:r>
        <w:rPr>
          <w:rFonts w:hint="eastAsia" w:ascii="方正仿宋_GBK" w:hAnsi="方正仿宋_GBK" w:eastAsia="方正仿宋_GBK" w:cs="方正仿宋_GBK"/>
          <w:spacing w:val="-6"/>
          <w:kern w:val="2"/>
          <w:sz w:val="32"/>
          <w:szCs w:val="32"/>
          <w:lang w:val="en-US" w:eastAsia="zh-CN" w:bidi="ar"/>
        </w:rPr>
        <w:t>一级及以下医疗机构起付线不低于</w:t>
      </w:r>
      <w:r>
        <w:rPr>
          <w:rFonts w:hint="default" w:ascii="Times New Roman" w:hAnsi="Times New Roman" w:eastAsia="方正仿宋_GBK" w:cs="Times New Roman"/>
          <w:spacing w:val="-6"/>
          <w:kern w:val="2"/>
          <w:sz w:val="32"/>
          <w:szCs w:val="32"/>
          <w:lang w:val="en-US" w:eastAsia="zh-CN" w:bidi="ar"/>
        </w:rPr>
        <w:t>200</w:t>
      </w:r>
      <w:r>
        <w:rPr>
          <w:rFonts w:hint="eastAsia" w:ascii="方正仿宋_GBK" w:hAnsi="方正仿宋_GBK" w:eastAsia="方正仿宋_GBK" w:cs="方正仿宋_GBK"/>
          <w:spacing w:val="-6"/>
          <w:kern w:val="2"/>
          <w:sz w:val="32"/>
          <w:szCs w:val="32"/>
          <w:lang w:val="en-US" w:eastAsia="zh-CN" w:bidi="ar"/>
        </w:rPr>
        <w:t>元，政策范围内报销比例</w:t>
      </w:r>
      <w:r>
        <w:rPr>
          <w:rFonts w:hint="default" w:ascii="Times New Roman" w:hAnsi="Times New Roman" w:eastAsia="方正仿宋_GBK" w:cs="Times New Roman"/>
          <w:spacing w:val="-6"/>
          <w:kern w:val="2"/>
          <w:sz w:val="32"/>
          <w:szCs w:val="32"/>
          <w:lang w:val="en-US" w:eastAsia="zh-CN" w:bidi="ar"/>
        </w:rPr>
        <w:t>95%</w:t>
      </w:r>
      <w:r>
        <w:rPr>
          <w:rFonts w:hint="eastAsia" w:ascii="方正仿宋_GBK" w:hAnsi="方正仿宋_GBK" w:eastAsia="方正仿宋_GBK" w:cs="方正仿宋_GBK"/>
          <w:spacing w:val="-6"/>
          <w:kern w:val="2"/>
          <w:sz w:val="32"/>
          <w:szCs w:val="32"/>
          <w:lang w:val="en-US" w:eastAsia="zh-CN" w:bidi="ar"/>
        </w:rPr>
        <w:t>；二级医疗机构起付线不低于</w:t>
      </w:r>
      <w:r>
        <w:rPr>
          <w:rFonts w:hint="default" w:ascii="Times New Roman" w:hAnsi="Times New Roman" w:eastAsia="方正仿宋_GBK" w:cs="Times New Roman"/>
          <w:spacing w:val="-6"/>
          <w:kern w:val="2"/>
          <w:sz w:val="32"/>
          <w:szCs w:val="32"/>
          <w:lang w:val="en-US" w:eastAsia="zh-CN" w:bidi="ar"/>
        </w:rPr>
        <w:t>400</w:t>
      </w:r>
      <w:r>
        <w:rPr>
          <w:rFonts w:hint="eastAsia" w:ascii="方正仿宋_GBK" w:hAnsi="方正仿宋_GBK" w:eastAsia="方正仿宋_GBK" w:cs="方正仿宋_GBK"/>
          <w:spacing w:val="-6"/>
          <w:kern w:val="2"/>
          <w:sz w:val="32"/>
          <w:szCs w:val="32"/>
          <w:lang w:val="en-US" w:eastAsia="zh-CN" w:bidi="ar"/>
        </w:rPr>
        <w:t>元，政策范围内报销比例</w:t>
      </w:r>
      <w:r>
        <w:rPr>
          <w:rFonts w:hint="default" w:ascii="Times New Roman" w:hAnsi="Times New Roman" w:eastAsia="方正仿宋_GBK" w:cs="Times New Roman"/>
          <w:spacing w:val="-6"/>
          <w:kern w:val="2"/>
          <w:sz w:val="32"/>
          <w:szCs w:val="32"/>
          <w:lang w:val="en-US" w:eastAsia="zh-CN" w:bidi="ar"/>
        </w:rPr>
        <w:t>90%</w:t>
      </w:r>
      <w:r>
        <w:rPr>
          <w:rFonts w:hint="eastAsia" w:ascii="方正仿宋_GBK" w:hAnsi="方正仿宋_GBK" w:eastAsia="方正仿宋_GBK" w:cs="方正仿宋_GBK"/>
          <w:spacing w:val="-6"/>
          <w:kern w:val="2"/>
          <w:sz w:val="32"/>
          <w:szCs w:val="32"/>
          <w:lang w:val="en-US" w:eastAsia="zh-CN" w:bidi="ar"/>
        </w:rPr>
        <w:t>；三级医疗机构起付线不低于</w:t>
      </w:r>
      <w:r>
        <w:rPr>
          <w:rFonts w:hint="default" w:ascii="Times New Roman" w:hAnsi="Times New Roman" w:eastAsia="方正仿宋_GBK" w:cs="Times New Roman"/>
          <w:spacing w:val="-6"/>
          <w:kern w:val="2"/>
          <w:sz w:val="32"/>
          <w:szCs w:val="32"/>
          <w:lang w:val="en-US" w:eastAsia="zh-CN" w:bidi="ar"/>
        </w:rPr>
        <w:t>600</w:t>
      </w:r>
      <w:r>
        <w:rPr>
          <w:rFonts w:hint="eastAsia" w:ascii="方正仿宋_GBK" w:hAnsi="方正仿宋_GBK" w:eastAsia="方正仿宋_GBK" w:cs="方正仿宋_GBK"/>
          <w:spacing w:val="-6"/>
          <w:kern w:val="2"/>
          <w:sz w:val="32"/>
          <w:szCs w:val="32"/>
          <w:lang w:val="en-US" w:eastAsia="zh-CN" w:bidi="ar"/>
        </w:rPr>
        <w:t>元，政策范围内报销比例</w:t>
      </w:r>
      <w:r>
        <w:rPr>
          <w:rFonts w:hint="default" w:ascii="Times New Roman" w:hAnsi="Times New Roman" w:eastAsia="方正仿宋_GBK" w:cs="Times New Roman"/>
          <w:spacing w:val="-6"/>
          <w:kern w:val="2"/>
          <w:sz w:val="32"/>
          <w:szCs w:val="32"/>
          <w:lang w:val="en-US" w:eastAsia="zh-CN" w:bidi="ar"/>
        </w:rPr>
        <w:t>85%</w:t>
      </w:r>
      <w:r>
        <w:rPr>
          <w:rFonts w:hint="eastAsia" w:ascii="方正仿宋_GBK" w:hAnsi="方正仿宋_GBK" w:eastAsia="方正仿宋_GBK" w:cs="方正仿宋_GBK"/>
          <w:spacing w:val="-6"/>
          <w:kern w:val="2"/>
          <w:sz w:val="32"/>
          <w:szCs w:val="32"/>
          <w:lang w:val="en-US" w:eastAsia="zh-CN" w:bidi="ar"/>
        </w:rPr>
        <w:t>。各级别医疗机构政策范围内报销比例可上下浮动</w:t>
      </w:r>
      <w:r>
        <w:rPr>
          <w:rFonts w:hint="default" w:ascii="Times New Roman" w:hAnsi="Times New Roman" w:eastAsia="方正仿宋_GBK" w:cs="Times New Roman"/>
          <w:spacing w:val="-6"/>
          <w:kern w:val="2"/>
          <w:sz w:val="32"/>
          <w:szCs w:val="32"/>
          <w:lang w:val="en-US" w:eastAsia="zh-CN" w:bidi="ar"/>
        </w:rPr>
        <w:t>5</w:t>
      </w:r>
      <w:r>
        <w:rPr>
          <w:rFonts w:hint="eastAsia" w:ascii="方正仿宋_GBK" w:hAnsi="方正仿宋_GBK" w:eastAsia="方正仿宋_GBK" w:cs="方正仿宋_GBK"/>
          <w:spacing w:val="-6"/>
          <w:kern w:val="2"/>
          <w:sz w:val="32"/>
          <w:szCs w:val="32"/>
          <w:lang w:val="en-US" w:eastAsia="zh-CN" w:bidi="ar"/>
        </w:rPr>
        <w:t>个百分点左右。</w:t>
      </w:r>
      <w:r>
        <w:rPr>
          <w:rFonts w:hint="eastAsia" w:ascii="方正仿宋_GBK" w:hAnsi="方正仿宋_GBK" w:eastAsia="方正仿宋_GBK" w:cs="方正仿宋_GBK"/>
          <w:b w:val="0"/>
          <w:bCs w:val="0"/>
          <w:spacing w:val="-6"/>
          <w:kern w:val="2"/>
          <w:sz w:val="32"/>
          <w:szCs w:val="32"/>
          <w:lang w:val="en-US" w:eastAsia="zh-CN" w:bidi="ar"/>
        </w:rPr>
        <w:t>退休人员报销比例可相应提高</w:t>
      </w:r>
      <w:r>
        <w:rPr>
          <w:rFonts w:hint="default" w:ascii="Times New Roman" w:hAnsi="Times New Roman" w:eastAsia="方正仿宋_GBK" w:cs="Times New Roman"/>
          <w:b w:val="0"/>
          <w:bCs w:val="0"/>
          <w:spacing w:val="-6"/>
          <w:kern w:val="2"/>
          <w:sz w:val="32"/>
          <w:szCs w:val="32"/>
          <w:lang w:val="en-US" w:eastAsia="zh-CN" w:bidi="ar"/>
        </w:rPr>
        <w:t>2</w:t>
      </w:r>
      <w:r>
        <w:rPr>
          <w:rFonts w:hint="eastAsia" w:ascii="方正仿宋_GBK" w:hAnsi="方正仿宋_GBK" w:eastAsia="方正仿宋_GBK" w:cs="方正仿宋_GBK"/>
          <w:b w:val="0"/>
          <w:bCs w:val="0"/>
          <w:spacing w:val="-6"/>
          <w:kern w:val="2"/>
          <w:sz w:val="32"/>
          <w:szCs w:val="32"/>
          <w:lang w:val="en-US" w:eastAsia="zh-CN" w:bidi="ar"/>
        </w:rPr>
        <w:t>个百分点左右。</w:t>
      </w:r>
    </w:p>
    <w:p w14:paraId="0453534E">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_GBK" w:cs="方正仿宋简体"/>
          <w:b w:val="0"/>
          <w:bCs w:val="0"/>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2</w:t>
      </w:r>
      <w:r>
        <w:rPr>
          <w:rFonts w:hint="eastAsia" w:ascii="方正仿宋_GBK" w:hAnsi="方正仿宋_GBK" w:eastAsia="方正仿宋_GBK" w:cs="方正仿宋_GBK"/>
          <w:b/>
          <w:bCs/>
          <w:spacing w:val="0"/>
          <w:kern w:val="2"/>
          <w:sz w:val="32"/>
          <w:szCs w:val="32"/>
          <w:lang w:val="en-US" w:eastAsia="zh-CN" w:bidi="ar"/>
        </w:rPr>
        <w:t>．职工大病保险。</w:t>
      </w:r>
      <w:r>
        <w:rPr>
          <w:rFonts w:hint="eastAsia" w:ascii="方正仿宋_GBK" w:hAnsi="方正仿宋_GBK" w:eastAsia="方正仿宋_GBK" w:cs="方正仿宋_GBK"/>
          <w:b w:val="0"/>
          <w:bCs w:val="0"/>
          <w:spacing w:val="0"/>
          <w:kern w:val="2"/>
          <w:sz w:val="32"/>
          <w:szCs w:val="32"/>
          <w:lang w:val="en-US" w:eastAsia="zh-CN" w:bidi="ar"/>
        </w:rPr>
        <w:t>整合各地职工大病保险与职工大额医疗费用补助政策，统一整合为职工大病保险。一个自然年度内，参保职工个人自付的住院和门诊慢特病政策范围内医药费用累计超过职工大病保险起付线的部分，职工大病保险实行分费用段按比例报销。</w:t>
      </w:r>
    </w:p>
    <w:p w14:paraId="1925EF1D">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b w:val="0"/>
          <w:bCs w:val="0"/>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1</w:t>
      </w:r>
      <w:r>
        <w:rPr>
          <w:rFonts w:hint="eastAsia" w:ascii="方正仿宋_GBK" w:hAnsi="方正仿宋_GBK" w:eastAsia="方正仿宋_GBK" w:cs="方正仿宋_GBK"/>
          <w:b w:val="0"/>
          <w:bCs w:val="0"/>
          <w:spacing w:val="0"/>
          <w:kern w:val="2"/>
          <w:sz w:val="32"/>
          <w:szCs w:val="32"/>
          <w:lang w:val="en-US" w:eastAsia="zh-CN" w:bidi="ar"/>
        </w:rPr>
        <w:t>）起付线。不高于全省城乡居民人均可支配收入，已超过的可暂不调整，随着可支配收入上涨逐步过渡。</w:t>
      </w:r>
    </w:p>
    <w:p w14:paraId="1CAAAB21">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2</w:t>
      </w:r>
      <w:r>
        <w:rPr>
          <w:rFonts w:hint="eastAsia" w:ascii="方正仿宋_GBK" w:hAnsi="方正仿宋_GBK" w:eastAsia="方正仿宋_GBK" w:cs="方正仿宋_GBK"/>
          <w:b w:val="0"/>
          <w:bCs w:val="0"/>
          <w:spacing w:val="0"/>
          <w:kern w:val="2"/>
          <w:sz w:val="32"/>
          <w:szCs w:val="32"/>
          <w:lang w:val="en-US" w:eastAsia="zh-CN" w:bidi="ar"/>
        </w:rPr>
        <w:t>）报销比例。</w:t>
      </w:r>
      <w:r>
        <w:rPr>
          <w:rFonts w:hint="eastAsia" w:ascii="方正仿宋_GBK" w:hAnsi="方正仿宋_GBK" w:eastAsia="方正仿宋_GBK" w:cs="方正仿宋_GBK"/>
          <w:spacing w:val="0"/>
          <w:kern w:val="2"/>
          <w:sz w:val="32"/>
          <w:szCs w:val="32"/>
          <w:lang w:val="en-US" w:eastAsia="zh-CN" w:bidi="ar"/>
        </w:rPr>
        <w:t>政策范围内费用起付线以上</w:t>
      </w:r>
      <w:r>
        <w:rPr>
          <w:rFonts w:hint="default" w:ascii="Times New Roman" w:hAnsi="Times New Roman" w:eastAsia="方正仿宋_GBK" w:cs="Times New Roman"/>
          <w:spacing w:val="0"/>
          <w:kern w:val="2"/>
          <w:sz w:val="32"/>
          <w:szCs w:val="32"/>
          <w:lang w:val="en-US" w:eastAsia="zh-CN" w:bidi="ar"/>
        </w:rPr>
        <w:t>5</w:t>
      </w:r>
      <w:r>
        <w:rPr>
          <w:rFonts w:hint="eastAsia" w:ascii="方正仿宋_GBK" w:hAnsi="方正仿宋_GBK" w:eastAsia="方正仿宋_GBK" w:cs="方正仿宋_GBK"/>
          <w:spacing w:val="0"/>
          <w:kern w:val="2"/>
          <w:sz w:val="32"/>
          <w:szCs w:val="32"/>
          <w:lang w:val="en-US" w:eastAsia="zh-CN" w:bidi="ar"/>
        </w:rPr>
        <w:t>万元以内段，报销比例</w:t>
      </w:r>
      <w:r>
        <w:rPr>
          <w:rFonts w:hint="default" w:ascii="Times New Roman" w:hAnsi="Times New Roman" w:eastAsia="方正仿宋_GBK" w:cs="Times New Roman"/>
          <w:spacing w:val="0"/>
          <w:kern w:val="2"/>
          <w:sz w:val="32"/>
          <w:szCs w:val="32"/>
          <w:lang w:val="en-US" w:eastAsia="zh-CN" w:bidi="ar"/>
        </w:rPr>
        <w:t>60%</w:t>
      </w:r>
      <w:r>
        <w:rPr>
          <w:rFonts w:hint="eastAsia" w:ascii="方正仿宋_GBK" w:hAnsi="方正仿宋_GBK" w:eastAsia="方正仿宋_GBK" w:cs="方正仿宋_GBK"/>
          <w:spacing w:val="0"/>
          <w:kern w:val="2"/>
          <w:sz w:val="32"/>
          <w:szCs w:val="32"/>
          <w:lang w:val="en-US" w:eastAsia="zh-CN" w:bidi="ar"/>
        </w:rPr>
        <w:t>；</w:t>
      </w:r>
      <w:r>
        <w:rPr>
          <w:rFonts w:hint="default" w:ascii="Times New Roman" w:hAnsi="Times New Roman" w:eastAsia="方正仿宋_GBK" w:cs="Times New Roman"/>
          <w:spacing w:val="0"/>
          <w:kern w:val="2"/>
          <w:sz w:val="32"/>
          <w:szCs w:val="32"/>
          <w:lang w:val="en-US" w:eastAsia="zh-CN" w:bidi="ar"/>
        </w:rPr>
        <w:t>5</w:t>
      </w:r>
      <w:r>
        <w:rPr>
          <w:rFonts w:hint="eastAsia" w:ascii="方正仿宋_GBK" w:hAnsi="方正仿宋_GBK" w:eastAsia="方正仿宋_GBK" w:cs="方正仿宋_GBK"/>
          <w:spacing w:val="0"/>
          <w:kern w:val="2"/>
          <w:sz w:val="32"/>
          <w:szCs w:val="32"/>
          <w:lang w:val="en-US" w:eastAsia="zh-CN" w:bidi="ar"/>
        </w:rPr>
        <w:t>万元—</w:t>
      </w:r>
      <w:r>
        <w:rPr>
          <w:rFonts w:hint="default" w:ascii="Times New Roman" w:hAnsi="Times New Roman" w:eastAsia="方正仿宋_GBK" w:cs="Times New Roman"/>
          <w:spacing w:val="0"/>
          <w:kern w:val="2"/>
          <w:sz w:val="32"/>
          <w:szCs w:val="32"/>
          <w:lang w:val="en-US" w:eastAsia="zh-CN" w:bidi="ar"/>
        </w:rPr>
        <w:t>10</w:t>
      </w:r>
      <w:r>
        <w:rPr>
          <w:rFonts w:hint="eastAsia" w:ascii="方正仿宋_GBK" w:hAnsi="方正仿宋_GBK" w:eastAsia="方正仿宋_GBK" w:cs="方正仿宋_GBK"/>
          <w:spacing w:val="0"/>
          <w:kern w:val="2"/>
          <w:sz w:val="32"/>
          <w:szCs w:val="32"/>
          <w:lang w:val="en-US" w:eastAsia="zh-CN" w:bidi="ar"/>
        </w:rPr>
        <w:t>万元段，报销比例</w:t>
      </w:r>
      <w:r>
        <w:rPr>
          <w:rFonts w:hint="default" w:ascii="Times New Roman" w:hAnsi="Times New Roman" w:eastAsia="方正仿宋_GBK" w:cs="Times New Roman"/>
          <w:spacing w:val="0"/>
          <w:kern w:val="2"/>
          <w:sz w:val="32"/>
          <w:szCs w:val="32"/>
          <w:lang w:val="en-US" w:eastAsia="zh-CN" w:bidi="ar"/>
        </w:rPr>
        <w:t>65%</w:t>
      </w:r>
      <w:r>
        <w:rPr>
          <w:rFonts w:hint="eastAsia" w:ascii="方正仿宋_GBK" w:hAnsi="方正仿宋_GBK" w:eastAsia="方正仿宋_GBK" w:cs="方正仿宋_GBK"/>
          <w:spacing w:val="0"/>
          <w:kern w:val="2"/>
          <w:sz w:val="32"/>
          <w:szCs w:val="32"/>
          <w:lang w:val="en-US" w:eastAsia="zh-CN" w:bidi="ar"/>
        </w:rPr>
        <w:t>；</w:t>
      </w:r>
      <w:r>
        <w:rPr>
          <w:rFonts w:hint="default" w:ascii="Times New Roman" w:hAnsi="Times New Roman" w:eastAsia="方正仿宋_GBK" w:cs="Times New Roman"/>
          <w:spacing w:val="0"/>
          <w:kern w:val="2"/>
          <w:sz w:val="32"/>
          <w:szCs w:val="32"/>
          <w:lang w:val="en-US" w:eastAsia="zh-CN" w:bidi="ar"/>
        </w:rPr>
        <w:t>10</w:t>
      </w:r>
      <w:r>
        <w:rPr>
          <w:rFonts w:hint="eastAsia" w:ascii="方正仿宋_GBK" w:hAnsi="方正仿宋_GBK" w:eastAsia="方正仿宋_GBK" w:cs="方正仿宋_GBK"/>
          <w:spacing w:val="0"/>
          <w:kern w:val="2"/>
          <w:sz w:val="32"/>
          <w:szCs w:val="32"/>
          <w:lang w:val="en-US" w:eastAsia="zh-CN" w:bidi="ar"/>
        </w:rPr>
        <w:t>万元—</w:t>
      </w:r>
      <w:r>
        <w:rPr>
          <w:rFonts w:hint="default" w:ascii="Times New Roman" w:hAnsi="Times New Roman" w:eastAsia="方正仿宋_GBK" w:cs="Times New Roman"/>
          <w:spacing w:val="0"/>
          <w:kern w:val="2"/>
          <w:sz w:val="32"/>
          <w:szCs w:val="32"/>
          <w:lang w:val="en-US" w:eastAsia="zh-CN" w:bidi="ar"/>
        </w:rPr>
        <w:t>20</w:t>
      </w:r>
      <w:r>
        <w:rPr>
          <w:rFonts w:hint="eastAsia" w:ascii="方正仿宋_GBK" w:hAnsi="方正仿宋_GBK" w:eastAsia="方正仿宋_GBK" w:cs="方正仿宋_GBK"/>
          <w:spacing w:val="0"/>
          <w:kern w:val="2"/>
          <w:sz w:val="32"/>
          <w:szCs w:val="32"/>
          <w:lang w:val="en-US" w:eastAsia="zh-CN" w:bidi="ar"/>
        </w:rPr>
        <w:t>万元段，报销比例</w:t>
      </w:r>
      <w:r>
        <w:rPr>
          <w:rFonts w:hint="default" w:ascii="Times New Roman" w:hAnsi="Times New Roman" w:eastAsia="方正仿宋_GBK" w:cs="Times New Roman"/>
          <w:spacing w:val="0"/>
          <w:kern w:val="2"/>
          <w:sz w:val="32"/>
          <w:szCs w:val="32"/>
          <w:lang w:val="en-US" w:eastAsia="zh-CN" w:bidi="ar"/>
        </w:rPr>
        <w:t>75%</w:t>
      </w:r>
      <w:r>
        <w:rPr>
          <w:rFonts w:hint="eastAsia" w:ascii="方正仿宋_GBK" w:hAnsi="方正仿宋_GBK" w:eastAsia="方正仿宋_GBK" w:cs="方正仿宋_GBK"/>
          <w:spacing w:val="0"/>
          <w:kern w:val="2"/>
          <w:sz w:val="32"/>
          <w:szCs w:val="32"/>
          <w:lang w:val="en-US" w:eastAsia="zh-CN" w:bidi="ar"/>
        </w:rPr>
        <w:t>；</w:t>
      </w:r>
      <w:r>
        <w:rPr>
          <w:rFonts w:hint="default" w:ascii="Times New Roman" w:hAnsi="Times New Roman" w:eastAsia="方正仿宋_GBK" w:cs="Times New Roman"/>
          <w:spacing w:val="0"/>
          <w:kern w:val="2"/>
          <w:sz w:val="32"/>
          <w:szCs w:val="32"/>
          <w:lang w:val="en-US" w:eastAsia="zh-CN" w:bidi="ar"/>
        </w:rPr>
        <w:t>20</w:t>
      </w:r>
      <w:r>
        <w:rPr>
          <w:rFonts w:hint="eastAsia" w:ascii="方正仿宋_GBK" w:hAnsi="方正仿宋_GBK" w:eastAsia="方正仿宋_GBK" w:cs="方正仿宋_GBK"/>
          <w:spacing w:val="0"/>
          <w:kern w:val="2"/>
          <w:sz w:val="32"/>
          <w:szCs w:val="32"/>
          <w:lang w:val="en-US" w:eastAsia="zh-CN" w:bidi="ar"/>
        </w:rPr>
        <w:t>万元以上段，报销比例</w:t>
      </w:r>
      <w:r>
        <w:rPr>
          <w:rFonts w:hint="default" w:ascii="Times New Roman" w:hAnsi="Times New Roman" w:eastAsia="方正仿宋_GBK" w:cs="Times New Roman"/>
          <w:spacing w:val="0"/>
          <w:kern w:val="2"/>
          <w:sz w:val="32"/>
          <w:szCs w:val="32"/>
          <w:lang w:val="en-US" w:eastAsia="zh-CN" w:bidi="ar"/>
        </w:rPr>
        <w:t>80%</w:t>
      </w:r>
      <w:r>
        <w:rPr>
          <w:rFonts w:hint="eastAsia" w:ascii="方正仿宋_GBK" w:hAnsi="方正仿宋_GBK" w:eastAsia="方正仿宋_GBK" w:cs="方正仿宋_GBK"/>
          <w:spacing w:val="0"/>
          <w:kern w:val="2"/>
          <w:sz w:val="32"/>
          <w:szCs w:val="32"/>
          <w:lang w:val="en-US" w:eastAsia="zh-CN" w:bidi="ar"/>
        </w:rPr>
        <w:t>。</w:t>
      </w:r>
    </w:p>
    <w:p w14:paraId="0F3E487C">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b w:val="0"/>
          <w:bCs w:val="0"/>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3</w:t>
      </w:r>
      <w:r>
        <w:rPr>
          <w:rFonts w:hint="eastAsia" w:ascii="方正仿宋_GBK" w:hAnsi="方正仿宋_GBK" w:eastAsia="方正仿宋_GBK" w:cs="方正仿宋_GBK"/>
          <w:b w:val="0"/>
          <w:bCs w:val="0"/>
          <w:spacing w:val="0"/>
          <w:kern w:val="2"/>
          <w:sz w:val="32"/>
          <w:szCs w:val="32"/>
          <w:lang w:val="en-US" w:eastAsia="zh-CN" w:bidi="ar"/>
        </w:rPr>
        <w:t>）支付限额。</w:t>
      </w:r>
      <w:r>
        <w:rPr>
          <w:rFonts w:hint="default" w:ascii="Times New Roman" w:hAnsi="Times New Roman" w:eastAsia="方正仿宋_GBK" w:cs="Times New Roman"/>
          <w:b w:val="0"/>
          <w:bCs w:val="0"/>
          <w:spacing w:val="0"/>
          <w:kern w:val="2"/>
          <w:sz w:val="32"/>
          <w:szCs w:val="32"/>
          <w:lang w:val="en-US" w:eastAsia="zh-CN" w:bidi="ar"/>
        </w:rPr>
        <w:t>40</w:t>
      </w:r>
      <w:r>
        <w:rPr>
          <w:rFonts w:hint="eastAsia" w:ascii="方正仿宋_GBK" w:hAnsi="方正仿宋_GBK" w:eastAsia="方正仿宋_GBK" w:cs="方正仿宋_GBK"/>
          <w:b w:val="0"/>
          <w:bCs w:val="0"/>
          <w:spacing w:val="0"/>
          <w:kern w:val="2"/>
          <w:sz w:val="32"/>
          <w:szCs w:val="32"/>
          <w:lang w:val="en-US" w:eastAsia="zh-CN" w:bidi="ar"/>
        </w:rPr>
        <w:t>万元。</w:t>
      </w:r>
    </w:p>
    <w:p w14:paraId="4E8B85A3">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b w:val="0"/>
          <w:bCs w:val="0"/>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4</w:t>
      </w:r>
      <w:r>
        <w:rPr>
          <w:rFonts w:hint="eastAsia" w:ascii="方正仿宋_GBK" w:hAnsi="方正仿宋_GBK" w:eastAsia="方正仿宋_GBK" w:cs="方正仿宋_GBK"/>
          <w:b w:val="0"/>
          <w:bCs w:val="0"/>
          <w:spacing w:val="0"/>
          <w:kern w:val="2"/>
          <w:sz w:val="32"/>
          <w:szCs w:val="32"/>
          <w:lang w:val="en-US" w:eastAsia="zh-CN" w:bidi="ar"/>
        </w:rPr>
        <w:t>）支付范围。参照职工基本医疗保险目录执行，基本医保起付线以下部分、乙类先行自付费用、超支付标准自付费用、跨省异地就医降比例部分等不纳入支付。</w:t>
      </w:r>
    </w:p>
    <w:p w14:paraId="52408A3E">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Times New Roman"/>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w:t>
      </w:r>
      <w:r>
        <w:rPr>
          <w:rFonts w:hint="default" w:ascii="Times New Roman" w:hAnsi="Times New Roman" w:eastAsia="方正仿宋_GBK" w:cs="Times New Roman"/>
          <w:b w:val="0"/>
          <w:bCs w:val="0"/>
          <w:spacing w:val="0"/>
          <w:kern w:val="2"/>
          <w:sz w:val="32"/>
          <w:szCs w:val="32"/>
          <w:lang w:val="en-US" w:eastAsia="zh-CN" w:bidi="ar"/>
        </w:rPr>
        <w:t>5</w:t>
      </w:r>
      <w:r>
        <w:rPr>
          <w:rFonts w:hint="eastAsia" w:ascii="方正仿宋_GBK" w:hAnsi="方正仿宋_GBK" w:eastAsia="方正仿宋_GBK" w:cs="方正仿宋_GBK"/>
          <w:b w:val="0"/>
          <w:bCs w:val="0"/>
          <w:spacing w:val="0"/>
          <w:kern w:val="2"/>
          <w:sz w:val="32"/>
          <w:szCs w:val="32"/>
          <w:lang w:val="en-US" w:eastAsia="zh-CN" w:bidi="ar"/>
        </w:rPr>
        <w:t>）资金来源。各地职工大额医疗费用、职工大病保险现行筹资模式不变，鼓励个人（含退休人员）缴费，已采取个人缴费的统筹区，不得擅自降低个人缴费标准。</w:t>
      </w:r>
    </w:p>
    <w:p w14:paraId="39CF042D">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spacing w:val="0"/>
          <w:kern w:val="2"/>
          <w:sz w:val="32"/>
          <w:szCs w:val="32"/>
        </w:rPr>
      </w:pPr>
      <w:r>
        <w:rPr>
          <w:rFonts w:hint="eastAsia" w:ascii="方正仿宋_GBK" w:hAnsi="方正仿宋_GBK" w:eastAsia="方正仿宋_GBK" w:cs="方正仿宋_GBK"/>
          <w:b w:val="0"/>
          <w:bCs w:val="0"/>
          <w:spacing w:val="0"/>
          <w:kern w:val="2"/>
          <w:sz w:val="32"/>
          <w:szCs w:val="32"/>
          <w:lang w:val="en-US" w:eastAsia="zh-CN" w:bidi="ar"/>
        </w:rPr>
        <w:t>参保职工被相关部门认定为符合条件的防止返贫致贫对象中的特困人员、低保对象</w:t>
      </w:r>
      <w:r>
        <w:rPr>
          <w:rFonts w:hint="eastAsia" w:ascii="方正仿宋_GBK" w:hAnsi="方正仿宋_GBK" w:eastAsia="方正仿宋_GBK" w:cs="方正仿宋_GBK"/>
          <w:spacing w:val="0"/>
          <w:kern w:val="2"/>
          <w:sz w:val="32"/>
          <w:szCs w:val="32"/>
          <w:lang w:val="en-US" w:eastAsia="zh-CN" w:bidi="ar"/>
        </w:rPr>
        <w:t>，</w:t>
      </w:r>
      <w:r>
        <w:rPr>
          <w:rFonts w:hint="eastAsia" w:ascii="方正仿宋_GBK" w:hAnsi="方正仿宋_GBK" w:eastAsia="方正仿宋_GBK" w:cs="方正仿宋_GBK"/>
          <w:b w:val="0"/>
          <w:bCs w:val="0"/>
          <w:spacing w:val="0"/>
          <w:kern w:val="2"/>
          <w:sz w:val="32"/>
          <w:szCs w:val="32"/>
          <w:lang w:val="en-US" w:eastAsia="zh-CN" w:bidi="ar"/>
        </w:rPr>
        <w:t>职工大病保险</w:t>
      </w:r>
      <w:r>
        <w:rPr>
          <w:rFonts w:hint="eastAsia" w:ascii="方正仿宋_GBK" w:hAnsi="方正仿宋_GBK" w:eastAsia="方正仿宋_GBK" w:cs="方正仿宋_GBK"/>
          <w:spacing w:val="0"/>
          <w:kern w:val="2"/>
          <w:sz w:val="32"/>
          <w:szCs w:val="32"/>
          <w:lang w:val="en-US" w:eastAsia="zh-CN" w:bidi="ar"/>
        </w:rPr>
        <w:t>起付标准降低</w:t>
      </w:r>
      <w:r>
        <w:rPr>
          <w:rFonts w:hint="default" w:ascii="Times New Roman" w:hAnsi="Times New Roman" w:eastAsia="方正仿宋_GBK" w:cs="Times New Roman"/>
          <w:spacing w:val="0"/>
          <w:kern w:val="2"/>
          <w:sz w:val="32"/>
          <w:szCs w:val="32"/>
          <w:lang w:val="en-US" w:eastAsia="zh-CN" w:bidi="ar"/>
        </w:rPr>
        <w:t>50%</w:t>
      </w:r>
      <w:r>
        <w:rPr>
          <w:rFonts w:hint="eastAsia" w:ascii="方正仿宋_GBK" w:hAnsi="方正仿宋_GBK" w:eastAsia="方正仿宋_GBK" w:cs="方正仿宋_GBK"/>
          <w:spacing w:val="0"/>
          <w:kern w:val="2"/>
          <w:sz w:val="32"/>
          <w:szCs w:val="32"/>
          <w:lang w:val="en-US" w:eastAsia="zh-CN" w:bidi="ar"/>
        </w:rPr>
        <w:t>、报销比例提高</w:t>
      </w:r>
      <w:r>
        <w:rPr>
          <w:rFonts w:hint="default" w:ascii="Times New Roman" w:hAnsi="Times New Roman" w:eastAsia="方正仿宋_GBK" w:cs="Times New Roman"/>
          <w:spacing w:val="0"/>
          <w:kern w:val="2"/>
          <w:sz w:val="32"/>
          <w:szCs w:val="32"/>
          <w:lang w:val="en-US" w:eastAsia="zh-CN" w:bidi="ar"/>
        </w:rPr>
        <w:t>5</w:t>
      </w:r>
      <w:r>
        <w:rPr>
          <w:rFonts w:hint="eastAsia" w:ascii="方正仿宋_GBK" w:hAnsi="方正仿宋_GBK" w:eastAsia="方正仿宋_GBK" w:cs="方正仿宋_GBK"/>
          <w:spacing w:val="0"/>
          <w:kern w:val="2"/>
          <w:sz w:val="32"/>
          <w:szCs w:val="32"/>
          <w:lang w:val="en-US" w:eastAsia="zh-CN" w:bidi="ar"/>
        </w:rPr>
        <w:t>个百分点。</w:t>
      </w:r>
    </w:p>
    <w:p w14:paraId="5432CE30">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方正仿宋_GBK" w:hAnsi="方正仿宋_GBK" w:eastAsia="方正仿宋_GBK" w:cs="方正仿宋_GBK"/>
          <w:spacing w:val="0"/>
          <w:kern w:val="2"/>
          <w:sz w:val="32"/>
          <w:szCs w:val="32"/>
        </w:rPr>
      </w:pPr>
      <w:r>
        <w:rPr>
          <w:rFonts w:hint="default" w:ascii="Times New Roman" w:hAnsi="Times New Roman" w:eastAsia="方正仿宋_GBK" w:cs="Times New Roman"/>
          <w:b/>
          <w:bCs/>
          <w:spacing w:val="0"/>
          <w:kern w:val="2"/>
          <w:sz w:val="32"/>
          <w:szCs w:val="32"/>
          <w:lang w:val="en-US" w:eastAsia="zh-CN" w:bidi="ar"/>
        </w:rPr>
        <w:t>3</w:t>
      </w:r>
      <w:r>
        <w:rPr>
          <w:rFonts w:hint="eastAsia" w:ascii="方正仿宋_GBK" w:hAnsi="方正仿宋_GBK" w:eastAsia="方正仿宋_GBK" w:cs="方正仿宋_GBK"/>
          <w:b/>
          <w:bCs/>
          <w:spacing w:val="0"/>
          <w:kern w:val="2"/>
          <w:sz w:val="32"/>
          <w:szCs w:val="32"/>
          <w:lang w:val="en-US" w:eastAsia="zh-CN" w:bidi="ar"/>
        </w:rPr>
        <w:t>．异地就医。</w:t>
      </w:r>
      <w:r>
        <w:rPr>
          <w:rFonts w:hint="eastAsia" w:ascii="方正仿宋_GBK" w:hAnsi="方正仿宋_GBK" w:eastAsia="方正仿宋_GBK" w:cs="方正仿宋_GBK"/>
          <w:spacing w:val="0"/>
          <w:kern w:val="2"/>
          <w:sz w:val="32"/>
          <w:szCs w:val="32"/>
          <w:lang w:val="en-US" w:eastAsia="zh-CN" w:bidi="ar"/>
        </w:rPr>
        <w:t>规范办理异地长期居住、异地安置、常驻异地备案的参保职工在备案地就医的，执行参保地待遇保障政策。临时外出就医人员按照我省职工基本医疗保险异地就医报销政策等有关规定执行。</w:t>
      </w:r>
    </w:p>
    <w:p w14:paraId="280E36A2">
      <w:pPr>
        <w:pStyle w:val="2"/>
        <w:keepNext w:val="0"/>
        <w:keepLines w:val="0"/>
        <w:pageBreakBefore w:val="0"/>
        <w:widowControl w:val="0"/>
        <w:suppressLineNumbers w:val="0"/>
        <w:kinsoku/>
        <w:wordWrap/>
        <w:overflowPunct/>
        <w:topLinePunct w:val="0"/>
        <w:autoSpaceDE w:val="0"/>
        <w:autoSpaceDN/>
        <w:bidi w:val="0"/>
        <w:adjustRightInd/>
        <w:snapToGrid/>
        <w:spacing w:line="590" w:lineRule="exact"/>
        <w:ind w:left="0" w:firstLine="643" w:firstLineChars="200"/>
        <w:textAlignment w:val="auto"/>
        <w:rPr>
          <w:rFonts w:hint="eastAsia" w:ascii="方正仿宋_GBK" w:hAnsi="方正仿宋_GBK" w:eastAsia="方正仿宋_GBK" w:cs="方正仿宋_GBK"/>
          <w:b w:val="0"/>
          <w:bCs w:val="0"/>
          <w:spacing w:val="0"/>
          <w:kern w:val="2"/>
          <w:sz w:val="32"/>
          <w:szCs w:val="32"/>
        </w:rPr>
      </w:pPr>
      <w:r>
        <w:rPr>
          <w:rFonts w:hint="default" w:ascii="Times New Roman" w:hAnsi="Times New Roman" w:eastAsia="方正仿宋_GBK" w:cs="Times New Roman"/>
          <w:b/>
          <w:bCs/>
          <w:spacing w:val="0"/>
          <w:kern w:val="2"/>
          <w:sz w:val="32"/>
          <w:szCs w:val="32"/>
        </w:rPr>
        <w:t>4</w:t>
      </w:r>
      <w:r>
        <w:rPr>
          <w:rFonts w:hint="eastAsia" w:ascii="方正仿宋_GBK" w:hAnsi="方正仿宋_GBK" w:eastAsia="方正仿宋_GBK" w:cs="方正仿宋_GBK"/>
          <w:b/>
          <w:bCs/>
          <w:spacing w:val="0"/>
          <w:kern w:val="2"/>
          <w:sz w:val="32"/>
          <w:szCs w:val="32"/>
        </w:rPr>
        <w:t>．生育保险。</w:t>
      </w:r>
      <w:r>
        <w:rPr>
          <w:rFonts w:hint="eastAsia" w:ascii="方正仿宋_GBK" w:hAnsi="方正仿宋_GBK" w:eastAsia="方正仿宋_GBK" w:cs="方正仿宋_GBK"/>
          <w:b w:val="0"/>
          <w:bCs w:val="0"/>
          <w:spacing w:val="0"/>
          <w:kern w:val="2"/>
          <w:sz w:val="32"/>
          <w:szCs w:val="32"/>
        </w:rPr>
        <w:t>按企业单位费率参保的，按规定享受生育医疗费用待遇和生育津贴；按机关事业单位费率参保的，享受生育医疗费用待遇，不享受生育津贴待遇。</w:t>
      </w:r>
    </w:p>
    <w:p w14:paraId="26E5A94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方正黑体_GBK" w:hAnsi="Times New Roman" w:eastAsia="方正黑体_GBK" w:cs="方正仿宋简体"/>
          <w:spacing w:val="0"/>
          <w:kern w:val="2"/>
          <w:sz w:val="32"/>
          <w:szCs w:val="32"/>
        </w:rPr>
      </w:pPr>
      <w:r>
        <w:rPr>
          <w:rFonts w:hint="eastAsia" w:ascii="方正黑体_GBK" w:hAnsi="方正黑体_GBK" w:eastAsia="方正黑体_GBK" w:cs="方正黑体_GBK"/>
          <w:spacing w:val="0"/>
          <w:kern w:val="2"/>
          <w:sz w:val="32"/>
          <w:szCs w:val="32"/>
          <w:lang w:val="en-US" w:eastAsia="zh-CN" w:bidi="ar"/>
        </w:rPr>
        <w:t>三、组织实施</w:t>
      </w:r>
    </w:p>
    <w:p w14:paraId="76B2764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Times New Roman" w:hAnsi="Times New Roman" w:eastAsia="方正仿宋_GBK" w:cs="方正仿宋简体"/>
          <w:spacing w:val="0"/>
          <w:kern w:val="2"/>
          <w:sz w:val="32"/>
          <w:szCs w:val="32"/>
        </w:rPr>
      </w:pPr>
      <w:r>
        <w:rPr>
          <w:rFonts w:hint="eastAsia" w:ascii="方正仿宋_GBK" w:hAnsi="方正仿宋_GBK" w:eastAsia="方正仿宋_GBK" w:cs="方正仿宋_GBK"/>
          <w:spacing w:val="0"/>
          <w:kern w:val="2"/>
          <w:sz w:val="32"/>
          <w:szCs w:val="32"/>
          <w:lang w:val="en-US" w:eastAsia="zh-CN" w:bidi="ar"/>
        </w:rPr>
        <w:t>各级医保、财政、税务部门要进一步统一思想，充分认识规范统一职工医保筹资和待遇政策的重要意义。各市要制定本地政策调整方案，</w:t>
      </w:r>
      <w:r>
        <w:rPr>
          <w:rFonts w:hint="default" w:ascii="Times New Roman" w:hAnsi="Times New Roman" w:eastAsia="方正仿宋_GBK" w:cs="Times New Roman"/>
          <w:spacing w:val="0"/>
          <w:kern w:val="2"/>
          <w:sz w:val="32"/>
          <w:szCs w:val="32"/>
          <w:lang w:val="en-US" w:eastAsia="zh-CN" w:bidi="ar"/>
        </w:rPr>
        <w:t>2026</w:t>
      </w:r>
      <w:r>
        <w:rPr>
          <w:rFonts w:hint="eastAsia" w:ascii="方正仿宋_GBK" w:hAnsi="方正仿宋_GBK" w:eastAsia="方正仿宋_GBK" w:cs="方正仿宋_GBK"/>
          <w:spacing w:val="0"/>
          <w:kern w:val="2"/>
          <w:sz w:val="32"/>
          <w:szCs w:val="32"/>
          <w:lang w:val="en-US" w:eastAsia="zh-CN" w:bidi="ar"/>
        </w:rPr>
        <w:t>年</w:t>
      </w:r>
      <w:r>
        <w:rPr>
          <w:rFonts w:hint="default" w:ascii="Times New Roman" w:hAnsi="Times New Roman" w:eastAsia="方正仿宋_GBK" w:cs="Times New Roman"/>
          <w:spacing w:val="0"/>
          <w:kern w:val="2"/>
          <w:sz w:val="32"/>
          <w:szCs w:val="32"/>
          <w:lang w:val="en-US" w:eastAsia="zh-CN" w:bidi="ar"/>
        </w:rPr>
        <w:t>9</w:t>
      </w:r>
      <w:r>
        <w:rPr>
          <w:rFonts w:hint="eastAsia" w:ascii="方正仿宋_GBK" w:hAnsi="方正仿宋_GBK" w:eastAsia="方正仿宋_GBK" w:cs="方正仿宋_GBK"/>
          <w:spacing w:val="0"/>
          <w:kern w:val="2"/>
          <w:sz w:val="32"/>
          <w:szCs w:val="32"/>
          <w:lang w:val="en-US" w:eastAsia="zh-CN" w:bidi="ar"/>
        </w:rPr>
        <w:t>月</w:t>
      </w:r>
      <w:r>
        <w:rPr>
          <w:rFonts w:hint="default" w:ascii="Times New Roman" w:hAnsi="Times New Roman" w:eastAsia="方正仿宋_GBK" w:cs="Times New Roman"/>
          <w:spacing w:val="0"/>
          <w:kern w:val="2"/>
          <w:sz w:val="32"/>
          <w:szCs w:val="32"/>
          <w:lang w:val="en-US" w:eastAsia="zh-CN" w:bidi="ar"/>
        </w:rPr>
        <w:t>30</w:t>
      </w:r>
      <w:r>
        <w:rPr>
          <w:rFonts w:hint="eastAsia" w:ascii="方正仿宋_GBK" w:hAnsi="方正仿宋_GBK" w:eastAsia="方正仿宋_GBK" w:cs="方正仿宋_GBK"/>
          <w:spacing w:val="0"/>
          <w:kern w:val="2"/>
          <w:sz w:val="32"/>
          <w:szCs w:val="32"/>
          <w:lang w:val="en-US" w:eastAsia="zh-CN" w:bidi="ar"/>
        </w:rPr>
        <w:t>日前报省医保局、省财政厅、省税务局备案。要加强数据测算，做好中长期基金收支分析，科学合理设置筹资和待遇指标，确保政策调整前后基金收支没有明显变化，参保职工总体报销待遇保持稳定。要建立健全风险防范化解机制，加强政策宣传解读，合理引导各界预期。各地在实施过程中遇到重大问题，要及时向省级主管部门报告。</w:t>
      </w:r>
    </w:p>
    <w:p w14:paraId="16753A10">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90" w:lineRule="exact"/>
        <w:ind w:left="0" w:right="0" w:firstLine="640" w:firstLineChars="200"/>
        <w:jc w:val="both"/>
        <w:textAlignment w:val="auto"/>
        <w:rPr>
          <w:rFonts w:ascii="Times New Roman" w:hAnsi="Times New Roman"/>
          <w:spacing w:val="0"/>
          <w:sz w:val="32"/>
        </w:rPr>
      </w:pPr>
      <w:r>
        <w:rPr>
          <w:rFonts w:hint="eastAsia" w:ascii="方正仿宋_GBK" w:hAnsi="方正仿宋_GBK" w:eastAsia="方正仿宋_GBK" w:cs="方正仿宋_GBK"/>
          <w:spacing w:val="0"/>
          <w:kern w:val="2"/>
          <w:sz w:val="32"/>
          <w:szCs w:val="32"/>
          <w:lang w:val="en-US" w:eastAsia="zh-CN" w:bidi="ar"/>
        </w:rPr>
        <w:t>本通知自</w:t>
      </w:r>
      <w:r>
        <w:rPr>
          <w:rFonts w:hint="default" w:ascii="Times New Roman" w:hAnsi="Times New Roman" w:eastAsia="方正仿宋_GBK" w:cs="Times New Roman"/>
          <w:spacing w:val="0"/>
          <w:kern w:val="2"/>
          <w:sz w:val="32"/>
          <w:szCs w:val="32"/>
          <w:lang w:val="en-US" w:eastAsia="zh-CN" w:bidi="ar"/>
        </w:rPr>
        <w:t>2027</w:t>
      </w:r>
      <w:r>
        <w:rPr>
          <w:rFonts w:hint="eastAsia" w:ascii="方正仿宋_GBK" w:hAnsi="方正仿宋_GBK" w:eastAsia="方正仿宋_GBK" w:cs="方正仿宋_GBK"/>
          <w:spacing w:val="0"/>
          <w:kern w:val="2"/>
          <w:sz w:val="32"/>
          <w:szCs w:val="32"/>
          <w:lang w:val="en-US" w:eastAsia="zh-CN" w:bidi="ar"/>
        </w:rPr>
        <w:t>年</w:t>
      </w:r>
      <w:r>
        <w:rPr>
          <w:rFonts w:hint="default" w:ascii="Times New Roman" w:hAnsi="Times New Roman" w:eastAsia="方正仿宋_GBK" w:cs="Times New Roman"/>
          <w:spacing w:val="0"/>
          <w:kern w:val="2"/>
          <w:sz w:val="32"/>
          <w:szCs w:val="32"/>
          <w:lang w:val="en-US" w:eastAsia="zh-CN" w:bidi="ar"/>
        </w:rPr>
        <w:t>1</w:t>
      </w:r>
      <w:r>
        <w:rPr>
          <w:rFonts w:hint="eastAsia" w:ascii="方正仿宋_GBK" w:hAnsi="方正仿宋_GBK" w:eastAsia="方正仿宋_GBK" w:cs="方正仿宋_GBK"/>
          <w:spacing w:val="0"/>
          <w:kern w:val="2"/>
          <w:sz w:val="32"/>
          <w:szCs w:val="32"/>
          <w:lang w:val="en-US" w:eastAsia="zh-CN" w:bidi="ar"/>
        </w:rPr>
        <w:t>月</w:t>
      </w:r>
      <w:r>
        <w:rPr>
          <w:rFonts w:hint="default" w:ascii="Times New Roman" w:hAnsi="Times New Roman" w:eastAsia="方正仿宋_GBK" w:cs="Times New Roman"/>
          <w:spacing w:val="0"/>
          <w:kern w:val="2"/>
          <w:sz w:val="32"/>
          <w:szCs w:val="32"/>
          <w:lang w:val="en-US" w:eastAsia="zh-CN" w:bidi="ar"/>
        </w:rPr>
        <w:t>1</w:t>
      </w:r>
      <w:r>
        <w:rPr>
          <w:rFonts w:hint="eastAsia" w:ascii="方正仿宋_GBK" w:hAnsi="方正仿宋_GBK" w:eastAsia="方正仿宋_GBK" w:cs="方正仿宋_GBK"/>
          <w:spacing w:val="0"/>
          <w:kern w:val="2"/>
          <w:sz w:val="32"/>
          <w:szCs w:val="32"/>
          <w:lang w:val="en-US" w:eastAsia="zh-CN" w:bidi="ar"/>
        </w:rPr>
        <w:t>日起施行。</w:t>
      </w:r>
    </w:p>
    <w:p w14:paraId="338CFB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仿宋_GB2312" w:cs="Times New Roman"/>
          <w:sz w:val="32"/>
          <w:szCs w:val="32"/>
        </w:rPr>
      </w:pPr>
    </w:p>
    <w:p w14:paraId="6431E888">
      <w:pPr>
        <w:keepNext w:val="0"/>
        <w:keepLines w:val="0"/>
        <w:pageBreakBefore w:val="0"/>
        <w:widowControl w:val="0"/>
        <w:kinsoku/>
        <w:overflowPunct/>
        <w:topLinePunct w:val="0"/>
        <w:autoSpaceDN/>
        <w:bidi w:val="0"/>
        <w:adjustRightInd/>
        <w:spacing w:line="590" w:lineRule="exact"/>
        <w:textAlignment w:val="auto"/>
      </w:pPr>
    </w:p>
    <w:sectPr>
      <w:headerReference r:id="rId3" w:type="default"/>
      <w:footerReference r:id="rId5" w:type="default"/>
      <w:headerReference r:id="rId4" w:type="even"/>
      <w:footerReference r:id="rId6" w:type="even"/>
      <w:pgSz w:w="11906" w:h="16838"/>
      <w:pgMar w:top="1701" w:right="1502" w:bottom="1134" w:left="1502" w:header="851" w:footer="1134" w:gutter="0"/>
      <w:cols w:space="0" w:num="1"/>
      <w:docGrid w:type="lines" w:linePitch="6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ESI仿宋-GB2312">
    <w:altName w:val="仿宋"/>
    <w:panose1 w:val="00000000000000000000"/>
    <w:charset w:val="00"/>
    <w:family w:val="auto"/>
    <w:pitch w:val="default"/>
    <w:sig w:usb0="00000000" w:usb1="00000000" w:usb2="00000000" w:usb3="00000000" w:csb0="0000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96D35">
    <w:pPr>
      <w:pBdr>
        <w:top w:val="none" w:color="auto" w:sz="0" w:space="1"/>
        <w:left w:val="none" w:color="auto" w:sz="0" w:space="4"/>
        <w:bottom w:val="none" w:color="auto" w:sz="0" w:space="1"/>
        <w:right w:val="none" w:color="auto" w:sz="0" w:space="4"/>
      </w:pBdr>
      <w:snapToGrid w:val="0"/>
      <w:spacing w:line="100" w:lineRule="exact"/>
      <w:rPr>
        <w:sz w:val="1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-15875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83FDE">
                          <w:pPr>
                            <w:pStyle w:val="4"/>
                            <w:rPr>
                              <w:rFonts w:cs="Times New Roman"/>
                              <w:sz w:val="24"/>
                            </w:rPr>
                          </w:pPr>
                          <w:r>
                            <w:rPr>
                              <w:rFonts w:hint="eastAsia" w:cs="Times New Roman"/>
                              <w:sz w:val="24"/>
                            </w:rPr>
                            <w:t xml:space="preserve">— </w:t>
                          </w:r>
                          <w:r>
                            <w:rPr>
                              <w:rFonts w:cs="Times New Roman"/>
                              <w:sz w:val="24"/>
                            </w:rPr>
                            <w:fldChar w:fldCharType="begin"/>
                          </w:r>
                          <w:r>
                            <w:rPr>
                              <w:rFonts w:cs="Times New Roman"/>
                              <w:sz w:val="24"/>
                            </w:rPr>
                            <w:instrText xml:space="preserve"> PAGE  \* MERGEFORMAT </w:instrText>
                          </w:r>
                          <w:r>
                            <w:rPr>
                              <w:rFonts w:cs="Times New Roman"/>
                              <w:sz w:val="24"/>
                            </w:rPr>
                            <w:fldChar w:fldCharType="separate"/>
                          </w:r>
                          <w:r>
                            <w:rPr>
                              <w:rFonts w:cs="Times New Roman"/>
                              <w:sz w:val="24"/>
                            </w:rPr>
                            <w:t>1</w:t>
                          </w:r>
                          <w:r>
                            <w:rPr>
                              <w:rFonts w:cs="Times New Roman"/>
                              <w:sz w:val="24"/>
                            </w:rPr>
                            <w:fldChar w:fldCharType="end"/>
                          </w:r>
                          <w:r>
                            <w:rPr>
                              <w:rFonts w:hint="eastAsia" w:cs="Times New Roman"/>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25pt;height:144pt;width:144pt;mso-position-horizontal:outside;mso-position-horizontal-relative:margin;mso-wrap-style:none;z-index:251662336;mso-width-relative:page;mso-height-relative:page;" filled="f" stroked="f" coordsize="21600,21600" o:gfxdata="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v/UcrUAAAABwEAAA8AAAAAAAAAAQAgAAAAIgAAAGRycy9kb3ducmV2LnhtbFBLAQIUABQAAAAI&#10;AIdO4kAm1VpzKgIAAFUEAAAOAAAAAAAAAAEAIAAAACMBAABkcnMvZTJvRG9jLnhtbFBLBQYAAAAA&#10;BgAGAFkBAAC/BQAAAAA=&#10;">
              <v:fill on="f" focussize="0,0"/>
              <v:stroke on="f" weight="0.5pt"/>
              <v:imagedata o:title=""/>
              <o:lock v:ext="edit" aspectratio="f"/>
              <v:textbox inset="0mm,0mm,0mm,0mm" style="mso-fit-shape-to-text:t;">
                <w:txbxContent>
                  <w:p w14:paraId="66383FDE">
                    <w:pPr>
                      <w:pStyle w:val="4"/>
                      <w:rPr>
                        <w:rFonts w:cs="Times New Roman"/>
                        <w:sz w:val="24"/>
                      </w:rPr>
                    </w:pPr>
                    <w:r>
                      <w:rPr>
                        <w:rFonts w:hint="eastAsia" w:cs="Times New Roman"/>
                        <w:sz w:val="24"/>
                      </w:rPr>
                      <w:t xml:space="preserve">— </w:t>
                    </w:r>
                    <w:r>
                      <w:rPr>
                        <w:rFonts w:cs="Times New Roman"/>
                        <w:sz w:val="24"/>
                      </w:rPr>
                      <w:fldChar w:fldCharType="begin"/>
                    </w:r>
                    <w:r>
                      <w:rPr>
                        <w:rFonts w:cs="Times New Roman"/>
                        <w:sz w:val="24"/>
                      </w:rPr>
                      <w:instrText xml:space="preserve"> PAGE  \* MERGEFORMAT </w:instrText>
                    </w:r>
                    <w:r>
                      <w:rPr>
                        <w:rFonts w:cs="Times New Roman"/>
                        <w:sz w:val="24"/>
                      </w:rPr>
                      <w:fldChar w:fldCharType="separate"/>
                    </w:r>
                    <w:r>
                      <w:rPr>
                        <w:rFonts w:cs="Times New Roman"/>
                        <w:sz w:val="24"/>
                      </w:rPr>
                      <w:t>1</w:t>
                    </w:r>
                    <w:r>
                      <w:rPr>
                        <w:rFonts w:cs="Times New Roman"/>
                        <w:sz w:val="24"/>
                      </w:rPr>
                      <w:fldChar w:fldCharType="end"/>
                    </w:r>
                    <w:r>
                      <w:rPr>
                        <w:rFonts w:hint="eastAsia" w:cs="Times New Roman"/>
                        <w:sz w:val="24"/>
                      </w:rPr>
                      <w:t xml:space="preserve"> —</w:t>
                    </w:r>
                  </w:p>
                </w:txbxContent>
              </v:textbox>
            </v:shape>
          </w:pict>
        </mc:Fallback>
      </mc:AlternateContent>
    </w:r>
  </w:p>
  <w:p w14:paraId="7EAF6750">
    <w:pPr>
      <w:pBdr>
        <w:top w:val="none" w:color="auto" w:sz="0" w:space="1"/>
        <w:left w:val="none" w:color="auto" w:sz="0" w:space="4"/>
        <w:bottom w:val="none" w:color="auto" w:sz="0" w:space="1"/>
        <w:right w:val="none" w:color="auto" w:sz="0" w:space="4"/>
      </w:pBdr>
      <w:snapToGrid w:val="0"/>
      <w:spacing w:line="100" w:lineRule="exact"/>
      <w:rPr>
        <w:sz w:val="18"/>
      </w:rPr>
    </w:pPr>
  </w:p>
  <w:p w14:paraId="2A1B58D5">
    <w:pPr>
      <w:pBdr>
        <w:top w:val="none" w:color="auto" w:sz="0" w:space="1"/>
        <w:left w:val="none" w:color="auto" w:sz="0" w:space="4"/>
        <w:bottom w:val="none" w:color="auto" w:sz="0" w:space="1"/>
        <w:right w:val="none" w:color="auto" w:sz="0" w:space="4"/>
      </w:pBdr>
      <w:snapToGrid w:val="0"/>
      <w:spacing w:line="100" w:lineRule="exact"/>
      <w:rPr>
        <w:sz w:val="18"/>
      </w:rPr>
    </w:pPr>
  </w:p>
  <w:tbl>
    <w:tblPr>
      <w:tblStyle w:val="8"/>
      <w:tblW w:w="89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Layout w:type="fixed"/>
      <w:tblCellMar>
        <w:top w:w="0" w:type="dxa"/>
        <w:left w:w="108" w:type="dxa"/>
        <w:bottom w:w="0" w:type="dxa"/>
        <w:right w:w="108" w:type="dxa"/>
      </w:tblCellMar>
    </w:tblPr>
    <w:tblGrid>
      <w:gridCol w:w="8957"/>
    </w:tblGrid>
    <w:tr w14:paraId="03694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CellMar>
          <w:top w:w="0" w:type="dxa"/>
          <w:left w:w="108" w:type="dxa"/>
          <w:bottom w:w="0" w:type="dxa"/>
          <w:right w:w="108" w:type="dxa"/>
        </w:tblCellMar>
      </w:tblPrEx>
      <w:trPr>
        <w:trHeight w:val="28" w:hRule="exact"/>
        <w:jc w:val="center"/>
      </w:trPr>
      <w:tc>
        <w:tcPr>
          <w:tcW w:w="8957" w:type="dxa"/>
          <w:tcBorders>
            <w:tl2br w:val="nil"/>
            <w:tr2bl w:val="nil"/>
          </w:tcBorders>
          <w:shd w:val="clear" w:color="auto" w:fill="000000" w:themeFill="text1"/>
        </w:tcPr>
        <w:p w14:paraId="762BA517">
          <w:pPr>
            <w:snapToGrid w:val="0"/>
            <w:rPr>
              <w:sz w:val="18"/>
            </w:rPr>
          </w:pPr>
        </w:p>
      </w:tc>
    </w:tr>
  </w:tbl>
  <w:p w14:paraId="7915450C">
    <w:pPr>
      <w:pBdr>
        <w:top w:val="none" w:color="auto" w:sz="0" w:space="1"/>
        <w:left w:val="none" w:color="auto" w:sz="0" w:space="4"/>
        <w:bottom w:val="none" w:color="auto" w:sz="0" w:space="1"/>
        <w:right w:val="none" w:color="auto" w:sz="0" w:space="4"/>
      </w:pBdr>
      <w:snapToGrid w:val="0"/>
      <w:spacing w:line="20" w:lineRule="exact"/>
      <w:rPr>
        <w:sz w:val="18"/>
      </w:rPr>
    </w:pPr>
    <w:r>
      <w:rPr>
        <w:sz w:val="18"/>
      </w:rPr>
      <mc:AlternateContent>
        <mc:Choice Requires="wps">
          <w:drawing>
            <wp:anchor distT="0" distB="0" distL="114300" distR="114300" simplePos="0" relativeHeight="251661312" behindDoc="0" locked="0" layoutInCell="1" allowOverlap="1">
              <wp:simplePos x="0" y="0"/>
              <wp:positionH relativeFrom="column">
                <wp:posOffset>2846070</wp:posOffset>
              </wp:positionH>
              <wp:positionV relativeFrom="paragraph">
                <wp:posOffset>8255</wp:posOffset>
              </wp:positionV>
              <wp:extent cx="2739390" cy="320040"/>
              <wp:effectExtent l="0" t="0" r="0" b="0"/>
              <wp:wrapNone/>
              <wp:docPr id="5" name="文本框 5"/>
              <wp:cNvGraphicFramePr/>
              <a:graphic xmlns:a="http://schemas.openxmlformats.org/drawingml/2006/main">
                <a:graphicData uri="http://schemas.microsoft.com/office/word/2010/wordprocessingShape">
                  <wps:wsp>
                    <wps:cNvSpPr txBox="1"/>
                    <wps:spPr>
                      <a:xfrm>
                        <a:off x="1130935" y="777240"/>
                        <a:ext cx="273939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4614A">
                          <w:pPr>
                            <w:snapToGrid w:val="0"/>
                            <w:jc w:val="center"/>
                          </w:pPr>
                          <w:r>
                            <w:rPr>
                              <w:rFonts w:hint="eastAsia" w:asciiTheme="minorEastAsia" w:hAnsiTheme="minorEastAsia" w:cstheme="minorEastAsia"/>
                              <w:sz w:val="28"/>
                              <w:szCs w:val="28"/>
                            </w:rPr>
                            <w:t>安徽省医疗保障局发布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1pt;margin-top:0.65pt;height:25.2pt;width:215.7pt;z-index:251661312;mso-width-relative:page;mso-height-relative:page;" filled="f" stroked="f" coordsize="21600,21600" o:gfxdata="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CF69PaAAAACAEAAA8AAAAA&#10;AAAAAQAgAAAAIgAAAGRycy9kb3ducmV2LnhtbFBLAQIUABQAAAAIAIdO4kBsulyoSwIAAH8EAAAO&#10;AAAAAAAAAAEAIAAAACkBAABkcnMvZTJvRG9jLnhtbFBLBQYAAAAABgAGAFkBAADmBQAAAAA=&#10;">
              <v:fill on="f" focussize="0,0"/>
              <v:stroke on="f" weight="0.5pt"/>
              <v:imagedata o:title=""/>
              <o:lock v:ext="edit" aspectratio="f"/>
              <v:textbox>
                <w:txbxContent>
                  <w:p w14:paraId="1DC4614A">
                    <w:pPr>
                      <w:snapToGrid w:val="0"/>
                      <w:jc w:val="center"/>
                    </w:pPr>
                    <w:r>
                      <w:rPr>
                        <w:rFonts w:hint="eastAsia" w:asciiTheme="minorEastAsia" w:hAnsiTheme="minorEastAsia" w:cstheme="minorEastAsia"/>
                        <w:sz w:val="28"/>
                        <w:szCs w:val="28"/>
                      </w:rPr>
                      <w:t>安徽省医疗保障局发布</w:t>
                    </w:r>
                  </w:p>
                </w:txbxContent>
              </v:textbox>
            </v:shape>
          </w:pict>
        </mc:Fallback>
      </mc:AlternateContent>
    </w:r>
  </w:p>
  <w:p w14:paraId="4006CC6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7156A">
    <w:pPr>
      <w:pBdr>
        <w:top w:val="none" w:color="auto" w:sz="0" w:space="1"/>
        <w:left w:val="none" w:color="auto" w:sz="0" w:space="4"/>
        <w:bottom w:val="none" w:color="auto" w:sz="0" w:space="1"/>
        <w:right w:val="none" w:color="auto" w:sz="0" w:space="4"/>
      </w:pBdr>
      <w:snapToGrid w:val="0"/>
      <w:spacing w:line="100" w:lineRule="exact"/>
      <w:rPr>
        <w:sz w:val="18"/>
      </w:rPr>
    </w:pPr>
    <w:r>
      <w:rPr>
        <w:sz w:val="18"/>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-15875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FE75F">
                          <w:pPr>
                            <w:pStyle w:val="4"/>
                            <w:rPr>
                              <w:rFonts w:cs="Times New Roman"/>
                              <w:sz w:val="24"/>
                            </w:rPr>
                          </w:pPr>
                          <w:r>
                            <w:rPr>
                              <w:rFonts w:hint="eastAsia" w:cs="Times New Roman"/>
                              <w:sz w:val="24"/>
                            </w:rPr>
                            <w:t xml:space="preserve">— </w:t>
                          </w:r>
                          <w:r>
                            <w:rPr>
                              <w:rFonts w:cs="Times New Roman"/>
                              <w:sz w:val="24"/>
                            </w:rPr>
                            <w:fldChar w:fldCharType="begin"/>
                          </w:r>
                          <w:r>
                            <w:rPr>
                              <w:rFonts w:cs="Times New Roman"/>
                              <w:sz w:val="24"/>
                            </w:rPr>
                            <w:instrText xml:space="preserve"> PAGE  \* MERGEFORMAT </w:instrText>
                          </w:r>
                          <w:r>
                            <w:rPr>
                              <w:rFonts w:cs="Times New Roman"/>
                              <w:sz w:val="24"/>
                            </w:rPr>
                            <w:fldChar w:fldCharType="separate"/>
                          </w:r>
                          <w:r>
                            <w:rPr>
                              <w:rFonts w:cs="Times New Roman"/>
                              <w:sz w:val="24"/>
                            </w:rPr>
                            <w:t>2</w:t>
                          </w:r>
                          <w:r>
                            <w:rPr>
                              <w:rFonts w:cs="Times New Roman"/>
                              <w:sz w:val="24"/>
                            </w:rPr>
                            <w:fldChar w:fldCharType="end"/>
                          </w:r>
                          <w:r>
                            <w:rPr>
                              <w:rFonts w:hint="eastAsia" w:cs="Times New Roman"/>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1.25pt;height:144pt;width:144pt;mso-position-horizontal-relative:margin;mso-wrap-style:none;z-index:251664384;mso-width-relative:page;mso-height-relative:page;" filled="f" stroked="f" coordsize="21600,21600" o:gfxdata="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r/1HK1AAAAAcBAAAPAAAAAAAAAAEAIAAAACIAAABkcnMvZG93bnJldi54bWxQSwEC&#10;FAAUAAAACACHTuJAsc8XrDECAABjBAAADgAAAAAAAAABACAAAAAjAQAAZHJzL2Uyb0RvYy54bWxQ&#10;SwUGAAAAAAYABgBZAQAAxgUAAAAA&#10;">
              <v:fill on="f" focussize="0,0"/>
              <v:stroke on="f" weight="0.5pt"/>
              <v:imagedata o:title=""/>
              <o:lock v:ext="edit" aspectratio="f"/>
              <v:textbox inset="0mm,0mm,0mm,0mm" style="mso-fit-shape-to-text:t;">
                <w:txbxContent>
                  <w:p w14:paraId="003FE75F">
                    <w:pPr>
                      <w:pStyle w:val="4"/>
                      <w:rPr>
                        <w:rFonts w:cs="Times New Roman"/>
                        <w:sz w:val="24"/>
                      </w:rPr>
                    </w:pPr>
                    <w:r>
                      <w:rPr>
                        <w:rFonts w:hint="eastAsia" w:cs="Times New Roman"/>
                        <w:sz w:val="24"/>
                      </w:rPr>
                      <w:t xml:space="preserve">— </w:t>
                    </w:r>
                    <w:r>
                      <w:rPr>
                        <w:rFonts w:cs="Times New Roman"/>
                        <w:sz w:val="24"/>
                      </w:rPr>
                      <w:fldChar w:fldCharType="begin"/>
                    </w:r>
                    <w:r>
                      <w:rPr>
                        <w:rFonts w:cs="Times New Roman"/>
                        <w:sz w:val="24"/>
                      </w:rPr>
                      <w:instrText xml:space="preserve"> PAGE  \* MERGEFORMAT </w:instrText>
                    </w:r>
                    <w:r>
                      <w:rPr>
                        <w:rFonts w:cs="Times New Roman"/>
                        <w:sz w:val="24"/>
                      </w:rPr>
                      <w:fldChar w:fldCharType="separate"/>
                    </w:r>
                    <w:r>
                      <w:rPr>
                        <w:rFonts w:cs="Times New Roman"/>
                        <w:sz w:val="24"/>
                      </w:rPr>
                      <w:t>2</w:t>
                    </w:r>
                    <w:r>
                      <w:rPr>
                        <w:rFonts w:cs="Times New Roman"/>
                        <w:sz w:val="24"/>
                      </w:rPr>
                      <w:fldChar w:fldCharType="end"/>
                    </w:r>
                    <w:r>
                      <w:rPr>
                        <w:rFonts w:hint="eastAsia" w:cs="Times New Roman"/>
                        <w:sz w:val="24"/>
                      </w:rPr>
                      <w:t xml:space="preserve"> —</w:t>
                    </w:r>
                  </w:p>
                </w:txbxContent>
              </v:textbox>
            </v:shape>
          </w:pict>
        </mc:Fallback>
      </mc:AlternateContent>
    </w:r>
  </w:p>
  <w:p w14:paraId="395D6045">
    <w:pPr>
      <w:pBdr>
        <w:top w:val="none" w:color="auto" w:sz="0" w:space="1"/>
        <w:left w:val="none" w:color="auto" w:sz="0" w:space="4"/>
        <w:bottom w:val="none" w:color="auto" w:sz="0" w:space="1"/>
        <w:right w:val="none" w:color="auto" w:sz="0" w:space="4"/>
      </w:pBdr>
      <w:snapToGrid w:val="0"/>
      <w:spacing w:line="100" w:lineRule="exact"/>
      <w:rPr>
        <w:sz w:val="18"/>
      </w:rPr>
    </w:pPr>
  </w:p>
  <w:p w14:paraId="4E430BF6">
    <w:pPr>
      <w:pBdr>
        <w:top w:val="none" w:color="auto" w:sz="0" w:space="1"/>
        <w:left w:val="none" w:color="auto" w:sz="0" w:space="4"/>
        <w:bottom w:val="none" w:color="auto" w:sz="0" w:space="1"/>
        <w:right w:val="none" w:color="auto" w:sz="0" w:space="4"/>
      </w:pBdr>
      <w:snapToGrid w:val="0"/>
      <w:spacing w:line="100" w:lineRule="exact"/>
      <w:rPr>
        <w:sz w:val="18"/>
      </w:rPr>
    </w:pPr>
  </w:p>
  <w:tbl>
    <w:tblPr>
      <w:tblStyle w:val="8"/>
      <w:tblW w:w="89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Layout w:type="fixed"/>
      <w:tblCellMar>
        <w:top w:w="0" w:type="dxa"/>
        <w:left w:w="108" w:type="dxa"/>
        <w:bottom w:w="0" w:type="dxa"/>
        <w:right w:w="108" w:type="dxa"/>
      </w:tblCellMar>
    </w:tblPr>
    <w:tblGrid>
      <w:gridCol w:w="8957"/>
    </w:tblGrid>
    <w:tr w14:paraId="02E8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CellMar>
          <w:top w:w="0" w:type="dxa"/>
          <w:left w:w="108" w:type="dxa"/>
          <w:bottom w:w="0" w:type="dxa"/>
          <w:right w:w="108" w:type="dxa"/>
        </w:tblCellMar>
      </w:tblPrEx>
      <w:trPr>
        <w:trHeight w:val="28" w:hRule="exact"/>
        <w:jc w:val="center"/>
      </w:trPr>
      <w:tc>
        <w:tcPr>
          <w:tcW w:w="8957" w:type="dxa"/>
          <w:tcBorders>
            <w:tl2br w:val="nil"/>
            <w:tr2bl w:val="nil"/>
          </w:tcBorders>
          <w:shd w:val="clear" w:color="auto" w:fill="000000" w:themeFill="text1"/>
        </w:tcPr>
        <w:p w14:paraId="7D2EAE7C">
          <w:pPr>
            <w:snapToGrid w:val="0"/>
            <w:rPr>
              <w:sz w:val="18"/>
            </w:rPr>
          </w:pPr>
        </w:p>
      </w:tc>
    </w:tr>
  </w:tbl>
  <w:p w14:paraId="383D22D3">
    <w:pPr>
      <w:pBdr>
        <w:top w:val="none" w:color="auto" w:sz="0" w:space="1"/>
        <w:left w:val="none" w:color="auto" w:sz="0" w:space="4"/>
        <w:bottom w:val="none" w:color="auto" w:sz="0" w:space="1"/>
        <w:right w:val="none" w:color="auto" w:sz="0" w:space="4"/>
      </w:pBdr>
      <w:snapToGrid w:val="0"/>
      <w:spacing w:line="20" w:lineRule="exact"/>
      <w:rPr>
        <w:sz w:val="18"/>
      </w:rPr>
    </w:pPr>
    <w:r>
      <w:rPr>
        <w:sz w:val="18"/>
      </w:rP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-1270</wp:posOffset>
              </wp:positionV>
              <wp:extent cx="2739390" cy="320040"/>
              <wp:effectExtent l="0" t="0" r="0" b="3810"/>
              <wp:wrapNone/>
              <wp:docPr id="9" name="文本框 9"/>
              <wp:cNvGraphicFramePr/>
              <a:graphic xmlns:a="http://schemas.openxmlformats.org/drawingml/2006/main">
                <a:graphicData uri="http://schemas.microsoft.com/office/word/2010/wordprocessingShape">
                  <wps:wsp>
                    <wps:cNvSpPr txBox="1"/>
                    <wps:spPr>
                      <a:xfrm>
                        <a:off x="0" y="0"/>
                        <a:ext cx="273939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2CE6F">
                          <w:pPr>
                            <w:snapToGrid w:val="0"/>
                            <w:jc w:val="center"/>
                            <w:rPr>
                              <w:sz w:val="28"/>
                              <w:szCs w:val="28"/>
                            </w:rPr>
                          </w:pPr>
                          <w:r>
                            <w:rPr>
                              <w:rFonts w:hint="eastAsia" w:asciiTheme="minorEastAsia" w:hAnsiTheme="minorEastAsia" w:cstheme="minorEastAsia"/>
                              <w:sz w:val="28"/>
                              <w:szCs w:val="28"/>
                            </w:rPr>
                            <w:t>安徽省医疗保障局发布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5pt;margin-top:-0.1pt;height:25.2pt;width:215.7pt;z-index:251663360;mso-width-relative:page;mso-height-relative:page;" filled="f" stroked="f" coordsize="21600,21600" o:gfxdata="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l5MSDXAAAABgEAAA8AAAAAAAAAAQAgAAAAIgAA&#10;AGRycy9kb3ducmV2LnhtbFBLAQIUABQAAAAIAIdO4kClbYJwQgIAAHQEAAAOAAAAAAAAAAEAIAAA&#10;ACYBAABkcnMvZTJvRG9jLnhtbFBLBQYAAAAABgAGAFkBAADaBQAAAAA=&#10;">
              <v:fill on="f" focussize="0,0"/>
              <v:stroke on="f" weight="0.5pt"/>
              <v:imagedata o:title=""/>
              <o:lock v:ext="edit" aspectratio="f"/>
              <v:textbox>
                <w:txbxContent>
                  <w:p w14:paraId="2952CE6F">
                    <w:pPr>
                      <w:snapToGrid w:val="0"/>
                      <w:jc w:val="center"/>
                      <w:rPr>
                        <w:sz w:val="28"/>
                        <w:szCs w:val="28"/>
                      </w:rPr>
                    </w:pPr>
                    <w:r>
                      <w:rPr>
                        <w:rFonts w:hint="eastAsia" w:asciiTheme="minorEastAsia" w:hAnsiTheme="minorEastAsia" w:cstheme="minorEastAsia"/>
                        <w:sz w:val="28"/>
                        <w:szCs w:val="28"/>
                      </w:rPr>
                      <w:t>安徽省医疗保障局发布</w:t>
                    </w:r>
                  </w:p>
                </w:txbxContent>
              </v:textbox>
            </v:shape>
          </w:pict>
        </mc:Fallback>
      </mc:AlternateContent>
    </w:r>
  </w:p>
  <w:p w14:paraId="1C6DCDA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615D5">
    <w:pPr>
      <w:pStyle w:val="5"/>
      <w:snapToGrid/>
      <w:spacing w:before="168" w:beforeLines="70"/>
    </w:pPr>
    <w:r>
      <mc:AlternateContent>
        <mc:Choice Requires="wps">
          <w:drawing>
            <wp:anchor distT="0" distB="0" distL="114300" distR="114300" simplePos="0" relativeHeight="251659264" behindDoc="0" locked="0" layoutInCell="1" allowOverlap="1">
              <wp:simplePos x="0" y="0"/>
              <wp:positionH relativeFrom="column">
                <wp:posOffset>194945</wp:posOffset>
              </wp:positionH>
              <wp:positionV relativeFrom="paragraph">
                <wp:posOffset>224155</wp:posOffset>
              </wp:positionV>
              <wp:extent cx="3048635" cy="320040"/>
              <wp:effectExtent l="0" t="0" r="0" b="0"/>
              <wp:wrapNone/>
              <wp:docPr id="2" name="文本框 2"/>
              <wp:cNvGraphicFramePr/>
              <a:graphic xmlns:a="http://schemas.openxmlformats.org/drawingml/2006/main">
                <a:graphicData uri="http://schemas.microsoft.com/office/word/2010/wordprocessingShape">
                  <wps:wsp>
                    <wps:cNvSpPr txBox="1"/>
                    <wps:spPr>
                      <a:xfrm>
                        <a:off x="1283335" y="746760"/>
                        <a:ext cx="3048635"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5FC0D">
                          <w:pPr>
                            <w:snapToGrid w:val="0"/>
                          </w:pPr>
                          <w:r>
                            <w:rPr>
                              <w:rFonts w:hint="eastAsia" w:asciiTheme="minorEastAsia" w:hAnsiTheme="minorEastAsia" w:cstheme="minorEastAsia"/>
                            </w:rPr>
                            <w:t>安徽省医疗保障局规范性文件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5pt;margin-top:17.65pt;height:25.2pt;width:240.05pt;z-index:251659264;mso-width-relative:page;mso-height-relative:page;" filled="f" stroked="f" coordsize="21600,21600" o:gfxdata="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O9rAnaAAAACAEAAA8AAAAAAAAAAQAg&#10;AAAAIgAAAGRycy9kb3ducmV2LnhtbFBLAQIUABQAAAAIAIdO4kAJjB+wRQIAAHEEAAAOAAAAAAAA&#10;AAEAIAAAACkBAABkcnMvZTJvRG9jLnhtbFBLBQYAAAAABgAGAFkBAADgBQAAAAA=&#10;">
              <v:fill on="f" focussize="0,0"/>
              <v:stroke on="f" weight="0.5pt"/>
              <v:imagedata o:title=""/>
              <o:lock v:ext="edit" aspectratio="f"/>
              <v:textbox>
                <w:txbxContent>
                  <w:p w14:paraId="06A5FC0D">
                    <w:pPr>
                      <w:snapToGrid w:val="0"/>
                    </w:pPr>
                    <w:r>
                      <w:rPr>
                        <w:rFonts w:hint="eastAsia" w:asciiTheme="minorEastAsia" w:hAnsiTheme="minorEastAsia" w:cstheme="minorEastAsia"/>
                      </w:rPr>
                      <w:t>安徽省医疗保障局规范性文件</w:t>
                    </w:r>
                  </w:p>
                </w:txbxContent>
              </v:textbox>
            </v:shape>
          </w:pict>
        </mc:Fallback>
      </mc:AlternateContent>
    </w:r>
  </w:p>
  <w:p w14:paraId="74505821">
    <w:pPr>
      <w:pStyle w:val="5"/>
    </w:pPr>
    <w:r>
      <w:rPr>
        <w:rFonts w:hint="eastAsia"/>
      </w:rPr>
      <w:drawing>
        <wp:inline distT="0" distB="0" distL="114300" distR="114300">
          <wp:extent cx="262890" cy="275590"/>
          <wp:effectExtent l="0" t="0" r="3810" b="10160"/>
          <wp:docPr id="1" name="图片 1" descr="454cddb6cf4d3c81a29bba35775f7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54cddb6cf4d3c81a29bba35775f7cb"/>
                  <pic:cNvPicPr>
                    <a:picLocks noChangeAspect="1"/>
                  </pic:cNvPicPr>
                </pic:nvPicPr>
                <pic:blipFill>
                  <a:blip r:embed="rId1"/>
                  <a:srcRect l="9101" t="7972" r="11852" b="9101"/>
                  <a:stretch>
                    <a:fillRect/>
                  </a:stretch>
                </pic:blipFill>
                <pic:spPr>
                  <a:xfrm>
                    <a:off x="0" y="0"/>
                    <a:ext cx="262890" cy="275590"/>
                  </a:xfrm>
                  <a:prstGeom prst="rect">
                    <a:avLst/>
                  </a:prstGeom>
                </pic:spPr>
              </pic:pic>
            </a:graphicData>
          </a:graphic>
        </wp:inline>
      </w:drawing>
    </w:r>
  </w:p>
  <w:p w14:paraId="4951DC54">
    <w:pPr>
      <w:pStyle w:val="5"/>
      <w:spacing w:line="100" w:lineRule="exact"/>
    </w:pPr>
  </w:p>
  <w:tbl>
    <w:tblPr>
      <w:tblStyle w:val="8"/>
      <w:tblW w:w="89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Layout w:type="fixed"/>
      <w:tblCellMar>
        <w:top w:w="0" w:type="dxa"/>
        <w:left w:w="108" w:type="dxa"/>
        <w:bottom w:w="0" w:type="dxa"/>
        <w:right w:w="108" w:type="dxa"/>
      </w:tblCellMar>
    </w:tblPr>
    <w:tblGrid>
      <w:gridCol w:w="8957"/>
    </w:tblGrid>
    <w:tr w14:paraId="5FBDD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CellMar>
          <w:top w:w="0" w:type="dxa"/>
          <w:left w:w="108" w:type="dxa"/>
          <w:bottom w:w="0" w:type="dxa"/>
          <w:right w:w="108" w:type="dxa"/>
        </w:tblCellMar>
      </w:tblPrEx>
      <w:trPr>
        <w:trHeight w:val="28" w:hRule="exact"/>
        <w:jc w:val="center"/>
      </w:trPr>
      <w:tc>
        <w:tcPr>
          <w:tcW w:w="8957" w:type="dxa"/>
          <w:tcBorders>
            <w:tl2br w:val="nil"/>
            <w:tr2bl w:val="nil"/>
          </w:tcBorders>
          <w:shd w:val="clear" w:color="auto" w:fill="000000" w:themeFill="text1"/>
        </w:tcPr>
        <w:p w14:paraId="647E638C">
          <w:pPr>
            <w:pStyle w:val="5"/>
            <w:pBdr>
              <w:top w:val="none" w:color="auto" w:sz="0" w:space="0"/>
              <w:left w:val="none" w:color="auto" w:sz="0" w:space="0"/>
              <w:bottom w:val="none" w:color="auto" w:sz="0" w:space="0"/>
              <w:right w:val="none" w:color="auto" w:sz="0" w:space="0"/>
            </w:pBdr>
          </w:pPr>
        </w:p>
      </w:tc>
    </w:tr>
  </w:tbl>
  <w:p w14:paraId="1086F4D4">
    <w:pPr>
      <w:pStyle w:val="5"/>
      <w:spacing w:line="2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9982E">
    <w:pPr>
      <w:pBdr>
        <w:top w:val="none" w:color="auto" w:sz="0" w:space="1"/>
        <w:left w:val="none" w:color="auto" w:sz="0" w:space="4"/>
        <w:bottom w:val="none" w:color="auto" w:sz="0" w:space="1"/>
        <w:right w:val="none" w:color="auto" w:sz="0" w:space="4"/>
      </w:pBdr>
      <w:spacing w:before="168" w:beforeLines="70"/>
      <w:rPr>
        <w:sz w:val="18"/>
      </w:rPr>
    </w:pPr>
    <w:r>
      <w:rPr>
        <w:sz w:val="18"/>
      </w:rPr>
      <mc:AlternateContent>
        <mc:Choice Requires="wps">
          <w:drawing>
            <wp:anchor distT="0" distB="0" distL="114300" distR="114300" simplePos="0" relativeHeight="251660288" behindDoc="0" locked="0" layoutInCell="1" allowOverlap="1">
              <wp:simplePos x="0" y="0"/>
              <wp:positionH relativeFrom="column">
                <wp:posOffset>194945</wp:posOffset>
              </wp:positionH>
              <wp:positionV relativeFrom="paragraph">
                <wp:posOffset>224155</wp:posOffset>
              </wp:positionV>
              <wp:extent cx="3000375" cy="320040"/>
              <wp:effectExtent l="0" t="0" r="0" b="0"/>
              <wp:wrapNone/>
              <wp:docPr id="3" name="文本框 3"/>
              <wp:cNvGraphicFramePr/>
              <a:graphic xmlns:a="http://schemas.openxmlformats.org/drawingml/2006/main">
                <a:graphicData uri="http://schemas.microsoft.com/office/word/2010/wordprocessingShape">
                  <wps:wsp>
                    <wps:cNvSpPr txBox="1"/>
                    <wps:spPr>
                      <a:xfrm>
                        <a:off x="1283335" y="746760"/>
                        <a:ext cx="300037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638D5">
                          <w:pPr>
                            <w:snapToGrid w:val="0"/>
                          </w:pPr>
                          <w:r>
                            <w:rPr>
                              <w:rFonts w:hint="eastAsia" w:asciiTheme="minorEastAsia" w:hAnsiTheme="minorEastAsia" w:cstheme="minorEastAsia"/>
                            </w:rPr>
                            <w:t>安徽省医疗保障局规范性文件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5pt;margin-top:17.65pt;height:25.2pt;width:236.25pt;z-index:251660288;mso-width-relative:page;mso-height-relative:page;" filled="f" stroked="f" coordsize="21600,21600" o:gfxdata="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IPvd9oAAAAIAQAADwAA&#10;AAAAAAABACAAAAAiAAAAZHJzL2Rvd25yZXYueG1sUEsBAhQAFAAAAAgAh07iQJ7phYxNAgAAfwQA&#10;AA4AAAAAAAAAAQAgAAAAKQEAAGRycy9lMm9Eb2MueG1sUEsFBgAAAAAGAAYAWQEAAOgFAAAAAA==&#10;">
              <v:fill on="f" focussize="0,0"/>
              <v:stroke on="f" weight="0.5pt"/>
              <v:imagedata o:title=""/>
              <o:lock v:ext="edit" aspectratio="f"/>
              <v:textbox>
                <w:txbxContent>
                  <w:p w14:paraId="387638D5">
                    <w:pPr>
                      <w:snapToGrid w:val="0"/>
                    </w:pPr>
                    <w:r>
                      <w:rPr>
                        <w:rFonts w:hint="eastAsia" w:asciiTheme="minorEastAsia" w:hAnsiTheme="minorEastAsia" w:cstheme="minorEastAsia"/>
                      </w:rPr>
                      <w:t>安徽省医疗保障局规范性文件</w:t>
                    </w:r>
                  </w:p>
                </w:txbxContent>
              </v:textbox>
            </v:shape>
          </w:pict>
        </mc:Fallback>
      </mc:AlternateContent>
    </w:r>
  </w:p>
  <w:p w14:paraId="29EFE70B">
    <w:pPr>
      <w:pBdr>
        <w:top w:val="none" w:color="auto" w:sz="0" w:space="1"/>
        <w:left w:val="none" w:color="auto" w:sz="0" w:space="4"/>
        <w:bottom w:val="none" w:color="auto" w:sz="0" w:space="1"/>
        <w:right w:val="none" w:color="auto" w:sz="0" w:space="4"/>
      </w:pBdr>
      <w:snapToGrid w:val="0"/>
      <w:rPr>
        <w:sz w:val="18"/>
      </w:rPr>
    </w:pPr>
    <w:r>
      <w:rPr>
        <w:rFonts w:hint="eastAsia"/>
        <w:sz w:val="18"/>
      </w:rPr>
      <w:drawing>
        <wp:inline distT="0" distB="0" distL="114300" distR="114300">
          <wp:extent cx="262890" cy="275590"/>
          <wp:effectExtent l="0" t="0" r="3810" b="10160"/>
          <wp:docPr id="4" name="图片 4" descr="454cddb6cf4d3c81a29bba35775f7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54cddb6cf4d3c81a29bba35775f7cb"/>
                  <pic:cNvPicPr>
                    <a:picLocks noChangeAspect="1"/>
                  </pic:cNvPicPr>
                </pic:nvPicPr>
                <pic:blipFill>
                  <a:blip r:embed="rId1"/>
                  <a:srcRect l="9101" t="7972" r="11852" b="9101"/>
                  <a:stretch>
                    <a:fillRect/>
                  </a:stretch>
                </pic:blipFill>
                <pic:spPr>
                  <a:xfrm>
                    <a:off x="0" y="0"/>
                    <a:ext cx="262890" cy="275590"/>
                  </a:xfrm>
                  <a:prstGeom prst="rect">
                    <a:avLst/>
                  </a:prstGeom>
                </pic:spPr>
              </pic:pic>
            </a:graphicData>
          </a:graphic>
        </wp:inline>
      </w:drawing>
    </w:r>
  </w:p>
  <w:p w14:paraId="737F4BAA">
    <w:pPr>
      <w:pBdr>
        <w:top w:val="none" w:color="auto" w:sz="0" w:space="1"/>
        <w:left w:val="none" w:color="auto" w:sz="0" w:space="4"/>
        <w:bottom w:val="none" w:color="auto" w:sz="0" w:space="1"/>
        <w:right w:val="none" w:color="auto" w:sz="0" w:space="4"/>
      </w:pBdr>
      <w:snapToGrid w:val="0"/>
      <w:spacing w:line="100" w:lineRule="exact"/>
      <w:rPr>
        <w:sz w:val="18"/>
      </w:rPr>
    </w:pPr>
  </w:p>
  <w:tbl>
    <w:tblPr>
      <w:tblStyle w:val="8"/>
      <w:tblW w:w="89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Layout w:type="fixed"/>
      <w:tblCellMar>
        <w:top w:w="0" w:type="dxa"/>
        <w:left w:w="108" w:type="dxa"/>
        <w:bottom w:w="0" w:type="dxa"/>
        <w:right w:w="108" w:type="dxa"/>
      </w:tblCellMar>
    </w:tblPr>
    <w:tblGrid>
      <w:gridCol w:w="8957"/>
    </w:tblGrid>
    <w:tr w14:paraId="47FD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hemeFill="text1"/>
        <w:tblCellMar>
          <w:top w:w="0" w:type="dxa"/>
          <w:left w:w="108" w:type="dxa"/>
          <w:bottom w:w="0" w:type="dxa"/>
          <w:right w:w="108" w:type="dxa"/>
        </w:tblCellMar>
      </w:tblPrEx>
      <w:trPr>
        <w:trHeight w:val="28" w:hRule="exact"/>
        <w:jc w:val="center"/>
      </w:trPr>
      <w:tc>
        <w:tcPr>
          <w:tcW w:w="8957" w:type="dxa"/>
          <w:tcBorders>
            <w:tl2br w:val="nil"/>
            <w:tr2bl w:val="nil"/>
          </w:tcBorders>
          <w:shd w:val="clear" w:color="auto" w:fill="000000" w:themeFill="text1"/>
        </w:tcPr>
        <w:p w14:paraId="75869B36">
          <w:pPr>
            <w:snapToGrid w:val="0"/>
            <w:rPr>
              <w:sz w:val="18"/>
            </w:rPr>
          </w:pPr>
        </w:p>
      </w:tc>
    </w:tr>
  </w:tbl>
  <w:p w14:paraId="5D86ED3E">
    <w:pPr>
      <w:pBdr>
        <w:top w:val="none" w:color="auto" w:sz="0" w:space="1"/>
        <w:left w:val="none" w:color="auto" w:sz="0" w:space="4"/>
        <w:bottom w:val="none" w:color="auto" w:sz="0" w:space="1"/>
        <w:right w:val="none" w:color="auto" w:sz="0" w:space="4"/>
      </w:pBdr>
      <w:snapToGrid w:val="0"/>
      <w:spacing w:line="20" w:lineRule="exact"/>
      <w:rPr>
        <w:sz w:val="18"/>
      </w:rPr>
    </w:pPr>
  </w:p>
  <w:p w14:paraId="1C485B90">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304"/>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5941A4"/>
    <w:rsid w:val="0007774F"/>
    <w:rsid w:val="001E12C4"/>
    <w:rsid w:val="002C26EB"/>
    <w:rsid w:val="0044327F"/>
    <w:rsid w:val="004C12BB"/>
    <w:rsid w:val="004E5F09"/>
    <w:rsid w:val="005350CA"/>
    <w:rsid w:val="00552498"/>
    <w:rsid w:val="005C58D0"/>
    <w:rsid w:val="00766543"/>
    <w:rsid w:val="007E0F39"/>
    <w:rsid w:val="008327D8"/>
    <w:rsid w:val="008F278D"/>
    <w:rsid w:val="00927DC0"/>
    <w:rsid w:val="009A0BD9"/>
    <w:rsid w:val="00E95613"/>
    <w:rsid w:val="00ED131B"/>
    <w:rsid w:val="055941A4"/>
    <w:rsid w:val="1A8B6E80"/>
    <w:rsid w:val="252541FE"/>
    <w:rsid w:val="3A8452DE"/>
    <w:rsid w:val="41911120"/>
    <w:rsid w:val="433F3073"/>
    <w:rsid w:val="49611371"/>
    <w:rsid w:val="4B9004B5"/>
    <w:rsid w:val="73CD1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qFormat/>
    <w:uiPriority w:val="0"/>
    <w:pPr>
      <w:keepNext w:val="0"/>
      <w:keepLines w:val="0"/>
      <w:widowControl w:val="0"/>
      <w:suppressLineNumbers w:val="0"/>
      <w:spacing w:before="0" w:beforeAutospacing="0" w:after="0" w:afterAutospacing="0" w:line="580" w:lineRule="exact"/>
      <w:ind w:left="0" w:right="0" w:firstLine="420"/>
      <w:jc w:val="left"/>
    </w:pPr>
    <w:rPr>
      <w:rFonts w:hint="default" w:ascii="Times New Roman" w:hAnsi="Times New Roman" w:eastAsia="方正仿宋_GBK" w:cs="Times New Roman"/>
      <w:kern w:val="2"/>
      <w:sz w:val="32"/>
      <w:szCs w:val="32"/>
      <w:lang w:val="en-US" w:eastAsia="zh-CN" w:bidi="ar"/>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qFormat/>
    <w:uiPriority w:val="0"/>
    <w:pPr>
      <w:widowControl w:val="0"/>
      <w:jc w:val="both"/>
    </w:pPr>
    <w:rPr>
      <w:rFonts w:ascii="Times New Roman" w:hAnsi="Times New Roman" w:eastAsia="方正仿宋_GBK" w:cstheme="minorBidi"/>
      <w:kern w:val="2"/>
      <w:sz w:val="24"/>
      <w:szCs w:val="32"/>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批注框文本 字符"/>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省医保局</Company>
  <Pages>7</Pages>
  <Words>2833</Words>
  <Characters>2903</Characters>
  <Lines>16</Lines>
  <Paragraphs>4</Paragraphs>
  <TotalTime>3</TotalTime>
  <ScaleCrop>false</ScaleCrop>
  <LinksUpToDate>false</LinksUpToDate>
  <CharactersWithSpaces>2911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2026-06-04T03:11:00Z</dcterms:created>
  <dc:creator>ntko</dc:creator>
  <cp:lastModifiedBy>范璐雪</cp:lastModifiedBy>
  <cp:lastPrinted>2025-09-10T09:40:00Z</cp:lastPrinted>
  <dcterms:modified xsi:type="dcterms:W3CDTF">2026-07-16T01:31:17Z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eyJoZGlkIjoiOTMzODViOTFmMzY2Y2Q2YWYxYTEwYWY4ZmRlYjE2OTgiLCJ1c2VySWQiOiIyMjE5OTYzMzQifQ==</vt:lpwstr>
  </property>
  <property fmtid="{D5CDD505-2E9C-101B-9397-08002B2CF9AE}" pid="4" name="ICV">
    <vt:lpwstr>0E6A5250151F45719B4A840A6DACF44F_13</vt:lpwstr>
  </property>
</Properties>
</file>