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26D68">
      <w:pPr>
        <w:pStyle w:val="5"/>
        <w:spacing w:line="560" w:lineRule="exact"/>
        <w:jc w:val="both"/>
      </w:pPr>
    </w:p>
    <w:p w14:paraId="5CEDCDE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20" w:lineRule="exact"/>
        <w:ind w:left="0"/>
        <w:jc w:val="center"/>
        <w:textAlignment w:val="auto"/>
        <w:rPr>
          <w:rStyle w:val="15"/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市人社局关于印发《天津市促进</w:t>
      </w:r>
      <w:r>
        <w:rPr>
          <w:rStyle w:val="15"/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失业人员</w:t>
      </w:r>
    </w:p>
    <w:p w14:paraId="3C2EC6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2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Style w:val="15"/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就业帮扶工作方案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》的通知</w:t>
      </w:r>
    </w:p>
    <w:p w14:paraId="1182EE4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20" w:lineRule="exact"/>
        <w:ind w:left="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648C7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各区人力资源和社会保障局，有关单位：</w:t>
      </w:r>
    </w:p>
    <w:p w14:paraId="1417B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为全面贯彻落实国家和本市稳就业工作决策部署，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集中为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失业人员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送政策、送服务、送岗位、送温暖，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促进失业人员及时就业，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《天津市促进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失业人员就业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帮扶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工作方案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》，现印发给你们，请结合实际抓好贯彻落实。</w:t>
      </w:r>
    </w:p>
    <w:p w14:paraId="6503E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04B74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3E2179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5489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2026年7月</w:t>
      </w:r>
      <w:r>
        <w:rPr>
          <w:rFonts w:hint="default" w:eastAsia="仿宋_GB2312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日</w:t>
      </w:r>
    </w:p>
    <w:p w14:paraId="5831C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208B6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5FBB4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6835E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4319C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558A0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431E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6A0DA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22E0B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71DBE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4311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1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6170C8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天津市促进</w:t>
      </w:r>
      <w:r>
        <w:rPr>
          <w:rStyle w:val="15"/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  <w:lang w:val="en-US" w:eastAsia="zh-CN"/>
        </w:rPr>
        <w:t>失业人员就业帮扶工作方案</w:t>
      </w:r>
    </w:p>
    <w:p w14:paraId="3FE7E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/>
        <w:textAlignment w:val="auto"/>
        <w:rPr>
          <w:rFonts w:ascii="Times New Roman" w:hAnsi="Times New Roman"/>
        </w:rPr>
      </w:pPr>
    </w:p>
    <w:p w14:paraId="03EE9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为深入贯彻落实党中央、国务院和市委、市政府关于高质量充分就业决策部署，进一步完善登记失业人员精准帮扶、闭环服务、数字赋能、长效管理</w:t>
      </w:r>
      <w:r>
        <w:rPr>
          <w:rFonts w:hint="default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体系。结合我市实际，制定本工作方案。</w:t>
      </w:r>
    </w:p>
    <w:p w14:paraId="53AFD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一、工作目标</w:t>
      </w:r>
    </w:p>
    <w:p w14:paraId="7017C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构建登记失业人员帮扶制度化、规范化、长效化运行机制，完善及时发现、优先服务、精准帮扶、动态管理工作体系。通过登记失业人员就业帮扶“一件事”，打造失业登记-需求摸排-服务对接-跟踪回访-退出管理全链条闭环服务，实现群众办事看得懂、少跑腿、得实惠，机构履职流程清、职责明、操作规范。促进未就业帮扶对象尽快实现就业创业，增强已就业人员就业稳定性，确保新增登记失业人员联系服务率100%。</w:t>
      </w:r>
    </w:p>
    <w:p w14:paraId="4FE7B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二、帮扶对象</w:t>
      </w:r>
    </w:p>
    <w:p w14:paraId="67982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eastAsia="zh-CN"/>
        </w:rPr>
        <w:t>法定劳动年龄内</w:t>
      </w:r>
      <w:r>
        <w:rPr>
          <w:rFonts w:hint="default" w:ascii="Times New Roman" w:hAnsi="Times New Roman" w:eastAsia="仿宋_GB2312"/>
          <w:sz w:val="32"/>
          <w:szCs w:val="22"/>
        </w:rPr>
        <w:t>有劳动能力、有就业创业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需求</w:t>
      </w:r>
      <w:r>
        <w:rPr>
          <w:rFonts w:hint="default" w:ascii="Times New Roman" w:hAnsi="Times New Roman" w:eastAsia="仿宋_GB2312"/>
          <w:sz w:val="32"/>
          <w:szCs w:val="22"/>
        </w:rPr>
        <w:t>、处于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无业</w:t>
      </w:r>
      <w:r>
        <w:rPr>
          <w:rFonts w:hint="default" w:ascii="Times New Roman" w:hAnsi="Times New Roman" w:eastAsia="仿宋_GB2312"/>
          <w:sz w:val="32"/>
          <w:szCs w:val="22"/>
        </w:rPr>
        <w:t>状态的城乡劳动者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。重点面向领取失业保险金人员、长期登记失业人员、大龄女性失业人员、失业青年、零就业家庭成员以及其他就业困难人员。</w:t>
      </w:r>
    </w:p>
    <w:p w14:paraId="435CF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三、帮扶政策</w:t>
      </w:r>
    </w:p>
    <w:p w14:paraId="7F2ED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税收减免优惠。</w:t>
      </w:r>
      <w:r>
        <w:rPr>
          <w:rFonts w:hint="default" w:ascii="Times New Roman" w:hAnsi="Times New Roman" w:eastAsia="仿宋_GB2312"/>
          <w:sz w:val="32"/>
          <w:szCs w:val="22"/>
        </w:rPr>
        <w:t>坚持市场化就业主渠道，鼓励企业吸纳就业援助对象就业，支持就业困难人员从事个体经营，落实现行相关税费优惠政策。</w:t>
      </w:r>
    </w:p>
    <w:p w14:paraId="4DC45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创业担保贷款及贴息优惠。</w:t>
      </w:r>
      <w:r>
        <w:rPr>
          <w:rFonts w:hint="default" w:ascii="Times New Roman" w:hAnsi="Times New Roman" w:eastAsia="仿宋_GB2312"/>
          <w:sz w:val="32"/>
          <w:szCs w:val="22"/>
        </w:rPr>
        <w:t>对于小微企业招用就业困难人员，就业困难人员自主创业及合伙创业，首次创办小微企业或者从事个体经营等具体情形，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按规定</w:t>
      </w:r>
      <w:r>
        <w:rPr>
          <w:rFonts w:hint="default" w:ascii="Times New Roman" w:hAnsi="Times New Roman" w:eastAsia="仿宋_GB2312"/>
          <w:sz w:val="32"/>
          <w:szCs w:val="22"/>
        </w:rPr>
        <w:t>给予创业担保贷款及贴息支持。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提供免费指导、培训孵化等创业服务，支持低成本创业、社区微创业，降低创业门槛。</w:t>
      </w:r>
    </w:p>
    <w:p w14:paraId="5FC9A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社会保险补贴。</w:t>
      </w:r>
      <w:r>
        <w:rPr>
          <w:rFonts w:hint="default" w:ascii="Times New Roman" w:hAnsi="Times New Roman" w:eastAsia="仿宋_GB2312"/>
          <w:sz w:val="32"/>
          <w:szCs w:val="22"/>
        </w:rPr>
        <w:t>鼓励就业困难人员到</w:t>
      </w:r>
      <w:r>
        <w:rPr>
          <w:rFonts w:hint="default" w:ascii="Times New Roman" w:hAnsi="Times New Roman" w:eastAsia="仿宋_GB2312"/>
          <w:sz w:val="32"/>
          <w:szCs w:val="22"/>
          <w:highlight w:val="none"/>
        </w:rPr>
        <w:t>企业就业、</w:t>
      </w:r>
      <w:r>
        <w:rPr>
          <w:rFonts w:hint="default" w:ascii="Times New Roman" w:hAnsi="Times New Roman" w:eastAsia="仿宋_GB2312"/>
          <w:sz w:val="32"/>
          <w:szCs w:val="22"/>
        </w:rPr>
        <w:t>灵活就业，对用人单位吸纳就业困难人员就业的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或</w:t>
      </w:r>
      <w:r>
        <w:rPr>
          <w:rFonts w:hint="default" w:ascii="Times New Roman" w:hAnsi="Times New Roman" w:eastAsia="仿宋_GB2312"/>
          <w:sz w:val="32"/>
          <w:szCs w:val="22"/>
        </w:rPr>
        <w:t>就业困难人员灵活就业的，按规定给予社会保险费补贴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。</w:t>
      </w:r>
    </w:p>
    <w:p w14:paraId="2F45C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职业培训和评价补</w:t>
      </w:r>
      <w:r>
        <w:rPr>
          <w:rFonts w:hint="default" w:ascii="Times New Roman" w:hAnsi="Times New Roman" w:eastAsia="仿宋_GB2312"/>
          <w:sz w:val="32"/>
          <w:szCs w:val="22"/>
        </w:rPr>
        <w:t>贴。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引导职业技能培训机构组织</w:t>
      </w:r>
      <w:r>
        <w:rPr>
          <w:rFonts w:hint="default" w:ascii="Times New Roman" w:hAnsi="Times New Roman" w:eastAsia="仿宋_GB2312"/>
          <w:sz w:val="32"/>
          <w:szCs w:val="22"/>
        </w:rPr>
        <w:t>家政、电商、康养、餐饮、智能制造等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领域</w:t>
      </w:r>
      <w:r>
        <w:rPr>
          <w:rFonts w:hint="default" w:ascii="Times New Roman" w:hAnsi="Times New Roman" w:eastAsia="仿宋_GB2312"/>
          <w:sz w:val="32"/>
          <w:szCs w:val="22"/>
        </w:rPr>
        <w:t>职业技能培训，推行订单式、定向式、冠名班培训，支持就业困难人员参加职业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技能</w:t>
      </w:r>
      <w:r>
        <w:rPr>
          <w:rFonts w:hint="default" w:ascii="Times New Roman" w:hAnsi="Times New Roman" w:eastAsia="仿宋_GB2312"/>
          <w:sz w:val="32"/>
          <w:szCs w:val="22"/>
        </w:rPr>
        <w:t>培训，按规定给予培训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费</w:t>
      </w:r>
      <w:r>
        <w:rPr>
          <w:rFonts w:hint="default" w:ascii="Times New Roman" w:hAnsi="Times New Roman" w:eastAsia="仿宋_GB2312"/>
          <w:sz w:val="32"/>
          <w:szCs w:val="22"/>
        </w:rPr>
        <w:t>补贴。</w:t>
      </w:r>
    </w:p>
    <w:p w14:paraId="40B31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公益性岗位兜底安置。</w:t>
      </w:r>
      <w:r>
        <w:rPr>
          <w:rFonts w:hint="default" w:ascii="Times New Roman" w:hAnsi="Times New Roman" w:eastAsia="仿宋_GB2312"/>
          <w:sz w:val="32"/>
          <w:szCs w:val="22"/>
        </w:rPr>
        <w:t>对通过市场渠道确实难以实现就业的就业困难人员，通过公益性岗位安置，按规定给予岗位补贴和社会保险补贴。</w:t>
      </w:r>
      <w:r>
        <w:rPr>
          <w:rFonts w:hint="default" w:ascii="Times New Roman" w:hAnsi="Times New Roman" w:eastAsia="仿宋_GB2312"/>
          <w:sz w:val="32"/>
          <w:szCs w:val="22"/>
          <w:lang w:val="en-US" w:eastAsia="zh-CN"/>
        </w:rPr>
        <w:t>对零就业家庭，30日内帮扶就业，保持动态清零；其他就业困难人员，60日内帮扶就业、保持安置率在85%以上。</w:t>
      </w:r>
    </w:p>
    <w:p w14:paraId="30B76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（六）</w:t>
      </w:r>
      <w:r>
        <w:rPr>
          <w:rFonts w:hint="default" w:ascii="Times New Roman" w:hAnsi="Times New Roman" w:eastAsia="楷体_GB2312" w:cs="Times New Roman"/>
          <w:sz w:val="32"/>
          <w:szCs w:val="22"/>
        </w:rPr>
        <w:t>与社会救助政策衔接。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对符合领取失业保险金的人员，</w:t>
      </w:r>
      <w:r>
        <w:rPr>
          <w:rFonts w:hint="default" w:ascii="Times New Roman" w:hAnsi="Times New Roman" w:eastAsia="仿宋_GB2312"/>
          <w:sz w:val="32"/>
          <w:szCs w:val="22"/>
          <w:lang w:val="en-US" w:eastAsia="zh-CN"/>
        </w:rPr>
        <w:t>按时足额发放失业保险金，代缴基本医疗保险、生育保险费。</w:t>
      </w:r>
      <w:r>
        <w:rPr>
          <w:rFonts w:hint="default" w:ascii="Times New Roman" w:hAnsi="Times New Roman" w:eastAsia="仿宋_GB2312"/>
          <w:sz w:val="32"/>
          <w:szCs w:val="22"/>
        </w:rPr>
        <w:t>对实现就业的低保对象，在核算其家庭收入时可扣减必要的就业成本，增强其就业意愿和就业稳定性。对可能因就业导致收入超出低保标准的，落实低保渐退政策，鼓励低保家庭成员积极就业。</w:t>
      </w:r>
    </w:p>
    <w:p w14:paraId="34FF3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四、个人申请流程</w:t>
      </w:r>
    </w:p>
    <w:p w14:paraId="501BD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22"/>
          <w:lang w:eastAsia="zh-CN"/>
        </w:rPr>
        <w:t>线上</w:t>
      </w:r>
      <w:r>
        <w:rPr>
          <w:rFonts w:hint="default" w:eastAsia="楷体_GB2312" w:cs="Times New Roman"/>
          <w:sz w:val="32"/>
          <w:szCs w:val="22"/>
          <w:lang w:val="en-US" w:eastAsia="zh-CN"/>
        </w:rPr>
        <w:t>。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通过</w:t>
      </w:r>
      <w:r>
        <w:rPr>
          <w:rFonts w:hint="default" w:ascii="Times New Roman" w:hAnsi="Times New Roman" w:eastAsia="仿宋_GB2312"/>
          <w:sz w:val="32"/>
          <w:szCs w:val="22"/>
        </w:rPr>
        <w:t>全国人力资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源和</w:t>
      </w:r>
      <w:r>
        <w:rPr>
          <w:rFonts w:hint="default" w:ascii="Times New Roman" w:hAnsi="Times New Roman" w:eastAsia="仿宋_GB2312"/>
          <w:sz w:val="32"/>
          <w:szCs w:val="22"/>
        </w:rPr>
        <w:t>社会保障政务服务平台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、天津公共就业服务网、</w:t>
      </w:r>
      <w:r>
        <w:rPr>
          <w:rFonts w:hint="default" w:ascii="Times New Roman" w:hAnsi="Times New Roman" w:eastAsia="仿宋_GB2312"/>
          <w:sz w:val="32"/>
          <w:szCs w:val="22"/>
        </w:rPr>
        <w:t>天津市人力资源和社会保障局官网网上办事大厅在线提交本人信息。</w:t>
      </w:r>
    </w:p>
    <w:p w14:paraId="48835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2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22"/>
          <w:lang w:eastAsia="zh-CN"/>
        </w:rPr>
        <w:t>线下</w:t>
      </w:r>
      <w:r>
        <w:rPr>
          <w:rFonts w:hint="default" w:eastAsia="楷体_GB2312" w:cs="Times New Roman"/>
          <w:sz w:val="32"/>
          <w:szCs w:val="22"/>
          <w:lang w:eastAsia="zh-CN"/>
        </w:rPr>
        <w:t>。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可</w:t>
      </w:r>
      <w:r>
        <w:rPr>
          <w:rFonts w:hint="default" w:ascii="Times New Roman" w:hAnsi="Times New Roman" w:eastAsia="仿宋_GB2312"/>
          <w:sz w:val="32"/>
          <w:szCs w:val="22"/>
        </w:rPr>
        <w:t>持本人有效身份证件，到户籍地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、</w:t>
      </w:r>
      <w:r>
        <w:rPr>
          <w:rFonts w:hint="default" w:ascii="Times New Roman" w:hAnsi="Times New Roman" w:eastAsia="仿宋_GB2312"/>
          <w:sz w:val="32"/>
          <w:szCs w:val="22"/>
        </w:rPr>
        <w:t>常住地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、就业地、参保地的</w:t>
      </w:r>
      <w:r>
        <w:rPr>
          <w:rFonts w:hint="default" w:ascii="Times New Roman" w:hAnsi="Times New Roman" w:eastAsia="仿宋_GB2312"/>
          <w:sz w:val="32"/>
          <w:szCs w:val="22"/>
        </w:rPr>
        <w:t>公共就业服务机构或街道（乡镇）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党群服务中心</w:t>
      </w:r>
      <w:r>
        <w:rPr>
          <w:rFonts w:hint="default" w:ascii="Times New Roman" w:hAnsi="Times New Roman" w:eastAsia="仿宋_GB2312"/>
          <w:sz w:val="32"/>
          <w:szCs w:val="2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22"/>
          <w:lang w:eastAsia="zh-CN"/>
        </w:rPr>
        <w:t>劳动保障服务机构</w:t>
      </w:r>
      <w:r>
        <w:rPr>
          <w:rFonts w:hint="default" w:ascii="Times New Roman" w:hAnsi="Times New Roman" w:eastAsia="仿宋_GB2312"/>
          <w:sz w:val="32"/>
          <w:szCs w:val="22"/>
        </w:rPr>
        <w:t>）办理。</w:t>
      </w:r>
    </w:p>
    <w:p w14:paraId="23568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五、帮扶工作机制</w:t>
      </w:r>
    </w:p>
    <w:p w14:paraId="0508C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22"/>
          <w:lang w:val="en" w:eastAsia="zh-CN" w:bidi="ar-SA"/>
        </w:rPr>
      </w:pPr>
      <w:r>
        <w:rPr>
          <w:rFonts w:hint="default" w:eastAsia="仿宋_GB2312" w:cs="Times New Roman"/>
          <w:b w:val="0"/>
          <w:kern w:val="2"/>
          <w:sz w:val="32"/>
          <w:szCs w:val="22"/>
          <w:lang w:val="en-US" w:eastAsia="zh-CN" w:bidi="ar-SA"/>
        </w:rPr>
        <w:t>建立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22"/>
          <w:lang w:val="en-US" w:eastAsia="zh-CN" w:bidi="ar-SA"/>
        </w:rPr>
        <w:t>“1212”帮扶机制，对失业人员提供至少1次帮扶登记或需求摸排、2次岗位推荐，对岗位推荐后依然未能实现就业的人员，再提供1次技能培训或职业指导、2次跟踪服务。要加强动态监测，对就业状态发生变化的及时更新，对就业转失业的继续跟进提供就业服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，提升就业稳定性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22"/>
          <w:lang w:val="en-US" w:eastAsia="zh-CN" w:bidi="ar-SA"/>
        </w:rPr>
        <w:t>。</w:t>
      </w:r>
    </w:p>
    <w:p w14:paraId="684EE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22"/>
          <w:lang w:val="en-US" w:eastAsia="zh-CN" w:bidi="ar-SA"/>
        </w:rPr>
        <w:t>（一）动态掌握帮扶需求。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22"/>
          <w:lang w:val="en-US" w:eastAsia="zh-CN" w:bidi="ar-SA"/>
        </w:rPr>
        <w:t>依托天津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公共就业服务网，全流程开展失业登记、援助服务、政策落实、全周期记录就业帮扶数据，实现就业帮扶业务全部进系统。各区人社局要指导街道（乡镇）党群服务中心（劳动保障服务机构）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、就业驿站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，通过入户走访、电话联系、数据比对等方式，全面摸清就业帮扶对象基本情况和就业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需求，规范失业人员就业帮扶记录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做到人员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底数清、就业能力清、就业意愿清、技能水平清、服务需求清、帮扶结果清，实现一人一档、全程可溯。</w:t>
      </w:r>
    </w:p>
    <w:p w14:paraId="34F0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22"/>
          <w:lang w:val="en-US" w:eastAsia="zh-CN" w:bidi="ar-SA"/>
        </w:rPr>
        <w:t>（二）加强分类精准帮扶。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结合就业帮扶对象特点，综合运用职业指导、职业介绍、职业培训、创业服务、公益性岗位安置等服务措施，制定“一对一”帮扶方案，明确就业帮扶步骤、帮扶内容、帮扶途径、负责人员。对有就业需求的，明确求职路径，针对性推荐岗位；对有创业需求的，明确创业方向，提供免费孵化场地、开业指导、创业孵化等“一条龙”服务；对有培训需求的，明确技能目标，推荐适合的培训机构和培训项目课程，提供职业技能等级评价信息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对零就业家庭，提供即时岗位援助，确保零就业家庭动态清零。</w:t>
      </w:r>
    </w:p>
    <w:p w14:paraId="44B69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22"/>
          <w:lang w:val="en-US" w:eastAsia="zh-CN" w:bidi="ar-SA"/>
        </w:rPr>
        <w:t>（三）细化帮扶工作举措。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按照失业时长、技能水平、就业意愿、困难程度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分为一般、重点、托底三类，实现梯度供给、精准滴灌、组合套餐服务。</w:t>
      </w:r>
    </w:p>
    <w:p w14:paraId="1F9E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一般帮扶：短期失业、技能匹配、求职积极人员，以自助服务、政策告知、岗位信息定期推送为主。</w:t>
      </w:r>
    </w:p>
    <w:p w14:paraId="56812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重点帮扶：技能不足、期望偏差、求职受挫人员，提供职业指导、心理疏导、精准培训、岗位对接、创业一站式服务，定期组织专家指导、职业体验等活动。</w:t>
      </w:r>
    </w:p>
    <w:p w14:paraId="0EB09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托底帮扶：长期失业、大龄、残疾、低保、零就业家庭、刑满释放等人员，实行“一对一”包联，一人一策，优先推荐岗位，落实政策，通过公益性岗位托底安置。</w:t>
      </w:r>
    </w:p>
    <w:p w14:paraId="79B3A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22"/>
          <w:lang w:val="en-US" w:eastAsia="zh-CN" w:bidi="ar-SA"/>
        </w:rPr>
        <w:t>（四）规范帮扶退出机制。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对超出法定劳动年龄、已实现就业、主动终止就业服务、拒绝接受</w:t>
      </w:r>
      <w:r>
        <w:rPr>
          <w:rFonts w:hint="default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公共就业服务达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3次、连续6个月无法取得联系</w:t>
      </w:r>
      <w:r>
        <w:rPr>
          <w:rFonts w:hint="default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、无就业意愿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、死亡等情形，及时注销失业登记，规范告知、系统留痕，实现精准动态管理。</w:t>
      </w:r>
    </w:p>
    <w:p w14:paraId="1D95D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22"/>
          <w:lang w:val="en-US" w:eastAsia="zh-CN" w:bidi="ar-SA"/>
        </w:rPr>
        <w:t>（五）强化岗位开发归集。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挖掘归集适合大龄人员的多样化、个性化就业岗位。引导用人单位开发适合的岗位，支持公共部门、基层社区，结合实际挖掘对经验、技术、耐性要求高，对体力、敏捷度要求低的岗位，吸纳大龄劳动者。有条件的区可探索建立就业援助基地，吸纳用工规范、岗位稳定的用人单位参与归集岗位。鼓励在学校、医院等单位和社区家政服务、公共场所服务管理等行业，开发适合大龄人员的灵活就业岗位。</w:t>
      </w:r>
    </w:p>
    <w:p w14:paraId="79B60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六、工作要求</w:t>
      </w:r>
    </w:p>
    <w:p w14:paraId="1DC3E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（一）强化组织领导。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各区人社部门要提高政治站位，将失业人员帮扶工作作为就业服务的重要内容，统筹资源、压实责任。</w:t>
      </w:r>
      <w:r>
        <w:rPr>
          <w:rFonts w:hint="default" w:ascii="Times New Roman" w:hAnsi="Times New Roman" w:eastAsia="仿宋_GB2312"/>
          <w:sz w:val="32"/>
          <w:szCs w:val="22"/>
          <w:lang w:eastAsia="zh-CN"/>
        </w:rPr>
        <w:t>市级公共就业服务机构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要加强全市帮扶工作组织实施、系统开发和督导调度等具体工作，确保各项举措落地见效。</w:t>
      </w:r>
    </w:p>
    <w:p w14:paraId="1D8EB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（二）强化统筹协同。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各级人社部门要强化与财政、民政、残联等部门的协同联动与数据共享，鼓励市场机构、社会组织参与就业帮扶，常态化开展人员业务培训，全面提升就业帮扶工作效能。</w:t>
      </w:r>
    </w:p>
    <w:p w14:paraId="52648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（三）强化宣传引导。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加强就业政策解读与服务全媒体宣传，提高企业和群众的知晓度和参与度。各区要创新举措，及时总结推广先进经验，广泛挖掘典型案例，讲好就业援助故事，形成区域特色帮扶品牌，引导就业援助对象更新择业观念、积极就业创业。</w:t>
      </w:r>
    </w:p>
    <w:p w14:paraId="11C9A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F34B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附件：登记失业人员就业帮扶记录</w:t>
      </w:r>
    </w:p>
    <w:p w14:paraId="2F54A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附件</w:t>
      </w:r>
    </w:p>
    <w:p w14:paraId="7026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903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登记失业人员就业帮扶记录</w:t>
      </w:r>
    </w:p>
    <w:p w14:paraId="1BCB5E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/>
        <w:textAlignment w:val="auto"/>
        <w:rPr>
          <w:rFonts w:hint="default" w:ascii="Times New Roman" w:hAnsi="Times New Roman"/>
          <w:lang w:val="en-US" w:eastAsia="zh-CN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 w14:paraId="3AC3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0" w:type="dxa"/>
            <w:gridSpan w:val="6"/>
            <w:shd w:val="clear" w:color="auto" w:fill="D7D7D7"/>
            <w:noWrap w:val="0"/>
            <w:vAlign w:val="center"/>
          </w:tcPr>
          <w:p w14:paraId="5DBF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基本情况</w:t>
            </w:r>
          </w:p>
        </w:tc>
      </w:tr>
      <w:tr w14:paraId="0117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noWrap w:val="0"/>
            <w:vAlign w:val="center"/>
          </w:tcPr>
          <w:p w14:paraId="07F4A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 w14:paraId="0053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88C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20" w:type="dxa"/>
            <w:noWrap w:val="0"/>
            <w:vAlign w:val="center"/>
          </w:tcPr>
          <w:p w14:paraId="7B93E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AC5D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帮扶级别</w:t>
            </w:r>
          </w:p>
        </w:tc>
        <w:tc>
          <w:tcPr>
            <w:tcW w:w="1420" w:type="dxa"/>
            <w:noWrap w:val="0"/>
            <w:vAlign w:val="center"/>
          </w:tcPr>
          <w:p w14:paraId="0A05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7AE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0" w:type="dxa"/>
            <w:gridSpan w:val="6"/>
            <w:shd w:val="clear" w:color="auto" w:fill="D7D7D7"/>
            <w:noWrap w:val="0"/>
            <w:vAlign w:val="center"/>
          </w:tcPr>
          <w:p w14:paraId="164C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服务记录</w:t>
            </w:r>
          </w:p>
        </w:tc>
      </w:tr>
      <w:tr w14:paraId="5A94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0D22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帮扶登记或需求摸排（至少1次）</w:t>
            </w:r>
          </w:p>
        </w:tc>
        <w:tc>
          <w:tcPr>
            <w:tcW w:w="1420" w:type="dxa"/>
            <w:noWrap w:val="0"/>
            <w:vAlign w:val="center"/>
          </w:tcPr>
          <w:p w14:paraId="1B84E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445D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420" w:type="dxa"/>
            <w:noWrap w:val="0"/>
            <w:vAlign w:val="center"/>
          </w:tcPr>
          <w:p w14:paraId="719F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3A7D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3949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ECE0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90FD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12EE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8AE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B710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4C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082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B0E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141A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C442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AC1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2C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C4C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岗位推荐（至少2次）</w:t>
            </w:r>
          </w:p>
        </w:tc>
        <w:tc>
          <w:tcPr>
            <w:tcW w:w="1420" w:type="dxa"/>
            <w:noWrap w:val="0"/>
            <w:vAlign w:val="center"/>
          </w:tcPr>
          <w:p w14:paraId="061B3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0CEF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推荐岗位</w:t>
            </w:r>
          </w:p>
        </w:tc>
        <w:tc>
          <w:tcPr>
            <w:tcW w:w="1420" w:type="dxa"/>
            <w:noWrap w:val="0"/>
            <w:vAlign w:val="center"/>
          </w:tcPr>
          <w:p w14:paraId="419B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4EC2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4F6F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2446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DE89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8EB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B9C8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575F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437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8C50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CF44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B56A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D3E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4EFC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F5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76E17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93D4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385F0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651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196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C5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1CD7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技能培训或职业指导（至少1次）</w:t>
            </w:r>
          </w:p>
        </w:tc>
        <w:tc>
          <w:tcPr>
            <w:tcW w:w="1420" w:type="dxa"/>
            <w:noWrap w:val="0"/>
            <w:vAlign w:val="center"/>
          </w:tcPr>
          <w:p w14:paraId="0667D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57D43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培训或指导内容</w:t>
            </w:r>
          </w:p>
        </w:tc>
        <w:tc>
          <w:tcPr>
            <w:tcW w:w="1420" w:type="dxa"/>
            <w:noWrap w:val="0"/>
            <w:vAlign w:val="center"/>
          </w:tcPr>
          <w:p w14:paraId="6237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1E46F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60A4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F8EB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45D6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07452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AB5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073B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EF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0DF2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5573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25332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9BEB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A59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1E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 w14:paraId="7CA18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  <w:t>跟踪服务（至少2次）</w:t>
            </w:r>
          </w:p>
        </w:tc>
        <w:tc>
          <w:tcPr>
            <w:tcW w:w="1420" w:type="dxa"/>
            <w:noWrap w:val="0"/>
            <w:vAlign w:val="center"/>
          </w:tcPr>
          <w:p w14:paraId="0A99E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 w14:paraId="03648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420" w:type="dxa"/>
            <w:noWrap w:val="0"/>
            <w:vAlign w:val="center"/>
          </w:tcPr>
          <w:p w14:paraId="4FD29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1420" w:type="dxa"/>
            <w:noWrap w:val="0"/>
            <w:vAlign w:val="center"/>
          </w:tcPr>
          <w:p w14:paraId="1E9F8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 w14:paraId="6C0E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4E68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B92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43CF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F3C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C42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D0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3C217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606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759F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6DDF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7DC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7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 w14:paraId="1933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EC78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0" w:type="dxa"/>
            <w:gridSpan w:val="2"/>
            <w:noWrap w:val="0"/>
            <w:vAlign w:val="center"/>
          </w:tcPr>
          <w:p w14:paraId="26BC6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E428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E592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C4A16B4">
      <w:pPr>
        <w:pStyle w:val="2"/>
        <w:rPr>
          <w:rFonts w:hint="default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68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8F1C6C-8991-4712-A740-89CB334CD2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7CB68B6-1288-4644-84E2-DECB644597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C2AB9B-84D3-4830-B277-2DC4BA9A981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69A4580-2147-4310-A045-2E6A938D9EC1}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84F55">
    <w:pPr>
      <w:pStyle w:val="6"/>
      <w:framePr w:wrap="around" w:vAnchor="text" w:hAnchor="margin" w:xAlign="outside" w:y="1"/>
      <w:rPr>
        <w:rStyle w:val="14"/>
        <w:rFonts w:hint="eastAsia" w:ascii="宋体" w:hAnsi="宋体"/>
        <w:sz w:val="28"/>
        <w:szCs w:val="28"/>
      </w:rPr>
    </w:pPr>
    <w:r>
      <w:rPr>
        <w:rStyle w:val="14"/>
        <w:rFonts w:hint="eastAsia" w:ascii="宋体" w:hAnsi="宋体"/>
        <w:sz w:val="28"/>
        <w:szCs w:val="28"/>
      </w:rPr>
      <w:t>―</w:t>
    </w:r>
    <w:r>
      <w:rPr>
        <w:rStyle w:val="14"/>
        <w:rFonts w:ascii="宋体" w:hAnsi="宋体"/>
        <w:sz w:val="28"/>
        <w:szCs w:val="28"/>
      </w:rPr>
      <w:fldChar w:fldCharType="begin"/>
    </w:r>
    <w:r>
      <w:rPr>
        <w:rStyle w:val="14"/>
        <w:rFonts w:ascii="宋体" w:hAnsi="宋体"/>
        <w:sz w:val="28"/>
        <w:szCs w:val="28"/>
      </w:rPr>
      <w:instrText xml:space="preserve">PAGE  </w:instrText>
    </w:r>
    <w:r>
      <w:rPr>
        <w:rStyle w:val="14"/>
        <w:rFonts w:ascii="宋体" w:hAnsi="宋体"/>
        <w:sz w:val="28"/>
        <w:szCs w:val="28"/>
      </w:rPr>
      <w:fldChar w:fldCharType="separate"/>
    </w:r>
    <w:r>
      <w:rPr>
        <w:rStyle w:val="14"/>
        <w:rFonts w:ascii="宋体" w:hAnsi="宋体"/>
        <w:sz w:val="28"/>
        <w:szCs w:val="28"/>
      </w:rPr>
      <w:t>1</w:t>
    </w:r>
    <w:r>
      <w:rPr>
        <w:rStyle w:val="14"/>
        <w:rFonts w:ascii="宋体" w:hAnsi="宋体"/>
        <w:sz w:val="28"/>
        <w:szCs w:val="28"/>
      </w:rPr>
      <w:fldChar w:fldCharType="end"/>
    </w:r>
    <w:r>
      <w:rPr>
        <w:rStyle w:val="14"/>
        <w:rFonts w:hint="eastAsia" w:ascii="宋体" w:hAnsi="宋体"/>
        <w:sz w:val="28"/>
        <w:szCs w:val="28"/>
      </w:rPr>
      <w:t>―</w:t>
    </w:r>
  </w:p>
  <w:p w14:paraId="5632462C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FAD74">
    <w:pPr>
      <w:pStyle w:val="6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6C18C23C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C9863C4"/>
    <w:rsid w:val="23084F67"/>
    <w:rsid w:val="27BE76F7"/>
    <w:rsid w:val="2FBF1B3E"/>
    <w:rsid w:val="5BFF5164"/>
    <w:rsid w:val="6B7AE69C"/>
    <w:rsid w:val="6F5FF8A9"/>
    <w:rsid w:val="7E96A5CA"/>
    <w:rsid w:val="7EFE8FCA"/>
    <w:rsid w:val="7FFB275B"/>
    <w:rsid w:val="9DFF9F42"/>
    <w:rsid w:val="A3F8B785"/>
    <w:rsid w:val="B3AFDB88"/>
    <w:rsid w:val="B5077907"/>
    <w:rsid w:val="CEEB1E16"/>
    <w:rsid w:val="CFF7B853"/>
    <w:rsid w:val="EFFEDA22"/>
    <w:rsid w:val="F63F0993"/>
    <w:rsid w:val="FABB7C87"/>
    <w:rsid w:val="FBC9701B"/>
    <w:rsid w:val="FD7B318E"/>
    <w:rsid w:val="FD7F16A9"/>
    <w:rsid w:val="FE5DA5CA"/>
    <w:rsid w:val="FEDF37CB"/>
    <w:rsid w:val="FF8FA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964" w:firstLineChars="200"/>
    </w:pPr>
    <w:rPr>
      <w:rFonts w:ascii="Times New Roman" w:eastAsia="宋体"/>
      <w:sz w:val="21"/>
      <w:szCs w:val="24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next w:val="9"/>
    <w:qFormat/>
    <w:uiPriority w:val="0"/>
    <w:pPr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7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8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9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0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1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2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3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4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5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6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7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8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9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30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1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7</Pages>
  <Words>2936</Words>
  <Characters>2960</Characters>
  <Lines>1</Lines>
  <Paragraphs>1</Paragraphs>
  <TotalTime>4</TotalTime>
  <ScaleCrop>false</ScaleCrop>
  <LinksUpToDate>false</LinksUpToDate>
  <CharactersWithSpaces>2994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2026-07-27T08:09:54Z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E8AC44A8F98E4DB6A317B433BB332998_12</vt:lpwstr>
  </property>
</Properties>
</file>