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FCE57">
      <w:pPr>
        <w:pStyle w:val="2"/>
        <w:spacing w:line="500" w:lineRule="exact"/>
        <w:jc w:val="both"/>
      </w:pPr>
    </w:p>
    <w:p w14:paraId="6D1AC566">
      <w:pPr>
        <w:pStyle w:val="2"/>
        <w:spacing w:line="600" w:lineRule="exact"/>
        <w:rPr>
          <w:rFonts w:hint="eastAsia" w:eastAsia="文星简小标宋"/>
          <w:bCs/>
          <w:color w:val="000000"/>
          <w:szCs w:val="44"/>
        </w:rPr>
      </w:pPr>
      <w:r>
        <w:rPr>
          <w:rFonts w:hint="eastAsia" w:eastAsia="文星简小标宋"/>
          <w:bCs/>
          <w:color w:val="000000"/>
          <w:szCs w:val="44"/>
          <w:lang w:eastAsia="zh-CN"/>
        </w:rPr>
        <w:t>市人社局市卫生健康委</w:t>
      </w:r>
      <w:r>
        <w:rPr>
          <w:rFonts w:hint="eastAsia" w:eastAsia="文星简小标宋"/>
          <w:bCs/>
          <w:color w:val="000000"/>
          <w:szCs w:val="44"/>
        </w:rPr>
        <w:t>关于进一步规范</w:t>
      </w:r>
    </w:p>
    <w:p w14:paraId="590B6FBA">
      <w:pPr>
        <w:pStyle w:val="2"/>
        <w:spacing w:line="600" w:lineRule="exact"/>
        <w:rPr>
          <w:rFonts w:eastAsia="文星简小标宋"/>
          <w:bCs/>
          <w:color w:val="000000"/>
          <w:szCs w:val="44"/>
        </w:rPr>
      </w:pPr>
      <w:r>
        <w:rPr>
          <w:rFonts w:hint="eastAsia" w:eastAsia="文星简小标宋"/>
          <w:bCs/>
          <w:color w:val="000000"/>
          <w:szCs w:val="44"/>
        </w:rPr>
        <w:t>劳动能力鉴定有关事项的通知</w:t>
      </w:r>
    </w:p>
    <w:p w14:paraId="62B539F3">
      <w:pPr>
        <w:spacing w:line="600" w:lineRule="exact"/>
        <w:rPr>
          <w:rFonts w:hint="eastAsia" w:eastAsia="仿宋_GB2312"/>
          <w:color w:val="000000"/>
          <w:kern w:val="0"/>
          <w:sz w:val="32"/>
          <w:szCs w:val="32"/>
        </w:rPr>
      </w:pPr>
    </w:p>
    <w:p w14:paraId="6828325A">
      <w:pPr>
        <w:spacing w:line="600" w:lineRule="exact"/>
        <w:rPr>
          <w:rFonts w:eastAsia="仿宋_GB2312"/>
          <w:color w:val="000000"/>
          <w:kern w:val="0"/>
          <w:sz w:val="32"/>
          <w:szCs w:val="32"/>
        </w:rPr>
      </w:pPr>
      <w:r>
        <w:rPr>
          <w:rFonts w:hint="eastAsia" w:eastAsia="仿宋_GB2312"/>
          <w:color w:val="000000"/>
          <w:kern w:val="0"/>
          <w:sz w:val="32"/>
          <w:szCs w:val="32"/>
        </w:rPr>
        <w:t>各区人力资源和社会保障局、卫生健康委，市社会保险基金管理中心，有关单位：</w:t>
      </w:r>
    </w:p>
    <w:p w14:paraId="7A08C8A3">
      <w:pPr>
        <w:spacing w:line="600" w:lineRule="exact"/>
        <w:ind w:firstLine="640" w:firstLineChars="200"/>
        <w:rPr>
          <w:rFonts w:eastAsia="仿宋_GB2312"/>
          <w:color w:val="000000"/>
          <w:kern w:val="0"/>
          <w:sz w:val="32"/>
          <w:szCs w:val="32"/>
        </w:rPr>
      </w:pPr>
      <w:r>
        <w:rPr>
          <w:rFonts w:hint="eastAsia" w:eastAsia="仿宋_GB2312"/>
          <w:color w:val="000000"/>
          <w:kern w:val="0"/>
          <w:sz w:val="32"/>
          <w:szCs w:val="32"/>
        </w:rPr>
        <w:t>为加强劳动能力鉴定管理，规范劳动能力鉴定程序，根据《中华人民共和国社会保险法》</w:t>
      </w:r>
      <w:r>
        <w:rPr>
          <w:rFonts w:hint="eastAsia" w:eastAsia="仿宋_GB2312"/>
          <w:color w:val="000000"/>
          <w:kern w:val="0"/>
          <w:sz w:val="32"/>
          <w:szCs w:val="32"/>
          <w:lang w:eastAsia="zh-CN"/>
        </w:rPr>
        <w:t>、</w:t>
      </w:r>
      <w:r>
        <w:rPr>
          <w:rFonts w:hint="eastAsia" w:eastAsia="仿宋_GB2312"/>
          <w:color w:val="000000"/>
          <w:kern w:val="0"/>
          <w:sz w:val="32"/>
          <w:szCs w:val="32"/>
        </w:rPr>
        <w:t>《工伤保险条例》</w:t>
      </w:r>
      <w:r>
        <w:rPr>
          <w:rFonts w:hint="eastAsia" w:eastAsia="仿宋_GB2312"/>
          <w:color w:val="000000"/>
          <w:kern w:val="0"/>
          <w:sz w:val="32"/>
          <w:szCs w:val="32"/>
          <w:lang w:eastAsia="zh-CN"/>
        </w:rPr>
        <w:t>、</w:t>
      </w:r>
      <w:r>
        <w:rPr>
          <w:rFonts w:hint="eastAsia" w:eastAsia="仿宋_GB2312"/>
          <w:color w:val="000000"/>
          <w:sz w:val="32"/>
          <w:szCs w:val="32"/>
        </w:rPr>
        <w:t>《劳动能力鉴定管理办法》</w:t>
      </w:r>
      <w:r>
        <w:rPr>
          <w:rFonts w:hint="eastAsia" w:eastAsia="仿宋_GB2312"/>
          <w:color w:val="000000"/>
          <w:sz w:val="32"/>
          <w:szCs w:val="32"/>
          <w:lang w:eastAsia="zh-CN"/>
        </w:rPr>
        <w:t>、</w:t>
      </w:r>
      <w:r>
        <w:rPr>
          <w:rFonts w:hint="eastAsia" w:eastAsia="仿宋_GB2312"/>
          <w:color w:val="000000"/>
          <w:sz w:val="32"/>
          <w:szCs w:val="32"/>
        </w:rPr>
        <w:t>《企业职工基本养老保险病残津贴暂行办法》和《天津市工伤保险若干规定》</w:t>
      </w:r>
      <w:r>
        <w:rPr>
          <w:rFonts w:hint="eastAsia" w:eastAsia="仿宋_GB2312"/>
          <w:color w:val="000000"/>
          <w:kern w:val="0"/>
          <w:sz w:val="32"/>
          <w:szCs w:val="32"/>
        </w:rPr>
        <w:t>等法律法规规定，结合本市实际，现就</w:t>
      </w:r>
      <w:r>
        <w:rPr>
          <w:rFonts w:hint="eastAsia" w:eastAsia="仿宋_GB2312"/>
          <w:color w:val="000000"/>
          <w:kern w:val="0"/>
          <w:sz w:val="32"/>
          <w:szCs w:val="32"/>
          <w:lang w:eastAsia="zh-CN"/>
        </w:rPr>
        <w:t>进一步</w:t>
      </w:r>
      <w:r>
        <w:rPr>
          <w:rFonts w:hint="eastAsia" w:eastAsia="仿宋_GB2312"/>
          <w:color w:val="000000"/>
          <w:kern w:val="0"/>
          <w:sz w:val="32"/>
          <w:szCs w:val="32"/>
        </w:rPr>
        <w:t>规范劳动能力鉴定有关事项通知如下：</w:t>
      </w:r>
    </w:p>
    <w:p w14:paraId="04C0C035">
      <w:pPr>
        <w:pStyle w:val="19"/>
        <w:numPr>
          <w:ilvl w:val="255"/>
          <w:numId w:val="0"/>
        </w:numPr>
        <w:spacing w:line="600" w:lineRule="exact"/>
        <w:ind w:firstLine="640" w:firstLineChars="200"/>
        <w:rPr>
          <w:rFonts w:ascii="Times New Roman" w:eastAsia="仿宋_GB2312"/>
          <w:color w:val="000000"/>
          <w:sz w:val="32"/>
          <w:szCs w:val="32"/>
        </w:rPr>
      </w:pPr>
      <w:r>
        <w:rPr>
          <w:rFonts w:hint="eastAsia" w:eastAsia="仿宋_GB2312"/>
          <w:color w:val="000000"/>
          <w:sz w:val="32"/>
          <w:szCs w:val="32"/>
        </w:rPr>
        <w:t>一、市劳动能力鉴定委员会由市</w:t>
      </w:r>
      <w:r>
        <w:rPr>
          <w:rFonts w:eastAsia="仿宋_GB2312"/>
          <w:color w:val="000000"/>
          <w:sz w:val="32"/>
          <w:szCs w:val="32"/>
        </w:rPr>
        <w:t>人社</w:t>
      </w:r>
      <w:r>
        <w:rPr>
          <w:rFonts w:hint="eastAsia" w:eastAsia="仿宋_GB2312"/>
          <w:color w:val="000000"/>
          <w:sz w:val="32"/>
          <w:szCs w:val="32"/>
        </w:rPr>
        <w:t>局、市卫生健康委、市总工会、用人单位代表以及市社保中心等代表组成，</w:t>
      </w:r>
      <w:r>
        <w:rPr>
          <w:rFonts w:hint="eastAsia" w:ascii="Times New Roman" w:eastAsia="仿宋_GB2312"/>
          <w:color w:val="000000"/>
          <w:sz w:val="32"/>
          <w:szCs w:val="32"/>
        </w:rPr>
        <w:t>负责对工伤职工劳动功能障碍程度和生活自理障碍程度初次鉴定或者复查鉴定结论</w:t>
      </w:r>
      <w:r>
        <w:rPr>
          <w:rFonts w:hint="eastAsia" w:ascii="Times New Roman" w:eastAsia="仿宋_GB2312"/>
          <w:color w:val="000000"/>
          <w:sz w:val="32"/>
          <w:szCs w:val="32"/>
          <w:highlight w:val="none"/>
        </w:rPr>
        <w:t>不服提出的再次鉴定，</w:t>
      </w:r>
      <w:r>
        <w:rPr>
          <w:rFonts w:hint="eastAsia" w:ascii="Times New Roman" w:eastAsia="仿宋_GB2312"/>
          <w:color w:val="000000"/>
          <w:sz w:val="32"/>
          <w:szCs w:val="32"/>
        </w:rPr>
        <w:t>负责对因病或非因工致残人员丧失劳动能力初次鉴定结论不服提出的再次鉴定，以及国家和本市</w:t>
      </w:r>
      <w:r>
        <w:rPr>
          <w:rFonts w:hint="eastAsia" w:eastAsia="仿宋_GB2312"/>
          <w:color w:val="000000"/>
          <w:sz w:val="32"/>
          <w:szCs w:val="32"/>
        </w:rPr>
        <w:t>有关规定</w:t>
      </w:r>
      <w:r>
        <w:rPr>
          <w:rFonts w:hint="eastAsia" w:ascii="Times New Roman" w:eastAsia="仿宋_GB2312"/>
          <w:color w:val="000000"/>
          <w:sz w:val="32"/>
          <w:szCs w:val="32"/>
        </w:rPr>
        <w:t>明确由其负责的其他鉴定。</w:t>
      </w:r>
      <w:r>
        <w:rPr>
          <w:rFonts w:hint="eastAsia" w:eastAsia="仿宋_GB2312"/>
          <w:color w:val="000000"/>
          <w:sz w:val="32"/>
          <w:szCs w:val="32"/>
        </w:rPr>
        <w:t>市劳动能力鉴定中心承担市劳动能力鉴定委员会日常工作，并负责管理劳动能力鉴定专家库，接受市人社局监督。</w:t>
      </w:r>
    </w:p>
    <w:p w14:paraId="22C513BC">
      <w:pPr>
        <w:pStyle w:val="19"/>
        <w:spacing w:line="600" w:lineRule="exact"/>
        <w:ind w:firstLine="640"/>
        <w:rPr>
          <w:rFonts w:eastAsia="仿宋_GB2312"/>
          <w:color w:val="000000"/>
          <w:sz w:val="32"/>
          <w:szCs w:val="32"/>
        </w:rPr>
      </w:pPr>
      <w:r>
        <w:rPr>
          <w:rFonts w:hint="eastAsia" w:eastAsia="仿宋_GB2312"/>
          <w:color w:val="000000"/>
          <w:sz w:val="32"/>
          <w:szCs w:val="32"/>
        </w:rPr>
        <w:t>二、区劳动能力鉴定委员会按照国家有关规定组成，按照“认定鉴定相一致”原则，由作出认定工伤决定所在区劳动能力鉴定委员会负责工伤职工劳动功能障碍程度和生活自理障碍程度初次鉴定、复查鉴定，负责本辖区内因病或非因工致残人员丧失劳动能力初次鉴定、重新鉴定，</w:t>
      </w:r>
      <w:r>
        <w:rPr>
          <w:rFonts w:hint="eastAsia" w:ascii="Times New Roman" w:eastAsia="仿宋_GB2312"/>
          <w:color w:val="000000"/>
          <w:sz w:val="32"/>
          <w:szCs w:val="32"/>
        </w:rPr>
        <w:t>以及国家和本市</w:t>
      </w:r>
      <w:r>
        <w:rPr>
          <w:rFonts w:hint="eastAsia" w:eastAsia="仿宋_GB2312"/>
          <w:color w:val="000000"/>
          <w:sz w:val="32"/>
          <w:szCs w:val="32"/>
        </w:rPr>
        <w:t>有关规定</w:t>
      </w:r>
      <w:r>
        <w:rPr>
          <w:rFonts w:hint="eastAsia" w:ascii="Times New Roman" w:eastAsia="仿宋_GB2312"/>
          <w:color w:val="000000"/>
          <w:sz w:val="32"/>
          <w:szCs w:val="32"/>
        </w:rPr>
        <w:t>明确由其负责的其他鉴定</w:t>
      </w:r>
      <w:r>
        <w:rPr>
          <w:rFonts w:hint="eastAsia" w:eastAsia="仿宋_GB2312"/>
          <w:color w:val="000000"/>
          <w:sz w:val="32"/>
          <w:szCs w:val="32"/>
        </w:rPr>
        <w:t>。存在管辖争议的，由市人社行政部门指定管辖。区劳动能力鉴定委员会日常工作机构由各区根据实际确定，接受区人社局监督。</w:t>
      </w:r>
    </w:p>
    <w:p w14:paraId="72D6D06A">
      <w:pPr>
        <w:pStyle w:val="19"/>
        <w:spacing w:line="600" w:lineRule="exact"/>
        <w:ind w:firstLine="640"/>
        <w:rPr>
          <w:rFonts w:eastAsia="仿宋_GB2312"/>
          <w:color w:val="000000"/>
          <w:sz w:val="32"/>
          <w:szCs w:val="32"/>
        </w:rPr>
      </w:pPr>
      <w:r>
        <w:rPr>
          <w:rFonts w:hint="eastAsia" w:eastAsia="仿宋_GB2312"/>
          <w:color w:val="000000"/>
          <w:sz w:val="32"/>
          <w:szCs w:val="32"/>
        </w:rPr>
        <w:t>三、</w:t>
      </w:r>
      <w:r>
        <w:rPr>
          <w:rFonts w:hint="eastAsia" w:ascii="Times New Roman" w:eastAsia="仿宋_GB2312"/>
          <w:color w:val="000000"/>
          <w:sz w:val="32"/>
          <w:szCs w:val="32"/>
        </w:rPr>
        <w:t>职工发生工伤，经治疗伤情相对稳定后存在残疾、影响劳动能力的，或者停工留薪期满（含劳动能力鉴定委员会确认的延长期限），</w:t>
      </w:r>
      <w:r>
        <w:rPr>
          <w:rFonts w:hint="eastAsia" w:eastAsia="仿宋_GB2312"/>
          <w:color w:val="000000"/>
          <w:sz w:val="32"/>
          <w:szCs w:val="32"/>
        </w:rPr>
        <w:t>用人单位、工伤职工或者其近亲属应当自伤情相对稳定或者停工留薪期满起</w:t>
      </w:r>
      <w:r>
        <w:rPr>
          <w:rFonts w:eastAsia="仿宋_GB2312"/>
          <w:color w:val="000000"/>
          <w:sz w:val="32"/>
          <w:szCs w:val="32"/>
        </w:rPr>
        <w:t>60</w:t>
      </w:r>
      <w:r>
        <w:rPr>
          <w:rFonts w:hint="eastAsia" w:eastAsia="仿宋_GB2312"/>
          <w:color w:val="000000"/>
          <w:sz w:val="32"/>
          <w:szCs w:val="32"/>
        </w:rPr>
        <w:t>日内提出劳动能力鉴定申请。因特殊情况无法在</w:t>
      </w:r>
      <w:r>
        <w:rPr>
          <w:rFonts w:eastAsia="仿宋_GB2312"/>
          <w:color w:val="000000"/>
          <w:sz w:val="32"/>
          <w:szCs w:val="32"/>
        </w:rPr>
        <w:t>60</w:t>
      </w:r>
      <w:r>
        <w:rPr>
          <w:rFonts w:hint="eastAsia" w:eastAsia="仿宋_GB2312"/>
          <w:color w:val="000000"/>
          <w:sz w:val="32"/>
          <w:szCs w:val="32"/>
        </w:rPr>
        <w:t>日内提出申请的，应当书面说明理由，经区劳动能力鉴定委员会同意，可以适当延长。</w:t>
      </w:r>
    </w:p>
    <w:p w14:paraId="79697573">
      <w:pPr>
        <w:spacing w:line="600" w:lineRule="exact"/>
        <w:ind w:firstLine="640" w:firstLineChars="200"/>
        <w:rPr>
          <w:rFonts w:eastAsia="仿宋_GB2312"/>
          <w:color w:val="000000"/>
          <w:sz w:val="32"/>
          <w:szCs w:val="32"/>
        </w:rPr>
      </w:pPr>
      <w:r>
        <w:rPr>
          <w:rFonts w:hint="eastAsia" w:eastAsia="仿宋_GB2312"/>
          <w:color w:val="000000"/>
          <w:sz w:val="32"/>
          <w:szCs w:val="32"/>
        </w:rPr>
        <w:t>因申请领取病残津贴进行劳动能力鉴定的，因病或非因工致残人员或者其用人单位应当向待遇领取地，或者最后参保地的区劳动能力鉴定委员会提出劳动能力鉴定申请。无用人单位的，由申请人或其存档机构提出申请。</w:t>
      </w:r>
    </w:p>
    <w:p w14:paraId="0C17D62E">
      <w:pPr>
        <w:numPr>
          <w:ilvl w:val="255"/>
          <w:numId w:val="0"/>
        </w:numPr>
        <w:spacing w:line="600" w:lineRule="exact"/>
        <w:rPr>
          <w:rFonts w:ascii="Times New Roman" w:eastAsia="仿宋_GB2312"/>
          <w:color w:val="000000"/>
          <w:sz w:val="32"/>
          <w:szCs w:val="32"/>
          <w:highlight w:val="none"/>
        </w:rPr>
      </w:pPr>
      <w:r>
        <w:rPr>
          <w:rFonts w:hint="eastAsia" w:eastAsia="仿宋_GB2312"/>
          <w:color w:val="000000"/>
          <w:sz w:val="32"/>
          <w:szCs w:val="32"/>
        </w:rPr>
        <w:t xml:space="preserve">    </w:t>
      </w:r>
      <w:r>
        <w:rPr>
          <w:rFonts w:hint="eastAsia" w:ascii="Times New Roman" w:eastAsia="仿宋_GB2312"/>
          <w:color w:val="000000"/>
          <w:sz w:val="32"/>
          <w:szCs w:val="32"/>
        </w:rPr>
        <w:t>四、申请劳动能力鉴定应当填写劳动能力鉴定申请表，并提交有效的</w:t>
      </w:r>
      <w:r>
        <w:rPr>
          <w:rFonts w:hint="eastAsia" w:ascii="Times New Roman" w:eastAsia="仿宋_GB2312"/>
          <w:color w:val="000000"/>
          <w:sz w:val="32"/>
          <w:szCs w:val="32"/>
          <w:highlight w:val="none"/>
        </w:rPr>
        <w:t>诊断证明、按照医疗机构病历管理有关规定复印或者复制的检查、检验报告等完整病历资料和被鉴定人的居民身份证或者社会保障卡等其他有效身份证明原件。</w:t>
      </w:r>
    </w:p>
    <w:p w14:paraId="36C7D349">
      <w:pPr>
        <w:pStyle w:val="19"/>
        <w:spacing w:line="600" w:lineRule="exact"/>
        <w:ind w:firstLine="640"/>
        <w:rPr>
          <w:highlight w:val="none"/>
        </w:rPr>
      </w:pPr>
      <w:r>
        <w:rPr>
          <w:rFonts w:hint="eastAsia" w:eastAsia="仿宋_GB2312"/>
          <w:color w:val="000000"/>
          <w:sz w:val="32"/>
          <w:szCs w:val="32"/>
          <w:highlight w:val="none"/>
        </w:rPr>
        <w:t>由工伤职工、</w:t>
      </w:r>
      <w:r>
        <w:rPr>
          <w:rFonts w:eastAsia="仿宋_GB2312"/>
          <w:color w:val="000000"/>
          <w:sz w:val="32"/>
          <w:szCs w:val="32"/>
          <w:highlight w:val="none"/>
        </w:rPr>
        <w:t>因病或非因工致残人员</w:t>
      </w:r>
      <w:r>
        <w:rPr>
          <w:rFonts w:hint="eastAsia" w:eastAsia="仿宋_GB2312"/>
          <w:color w:val="000000"/>
          <w:sz w:val="32"/>
          <w:szCs w:val="32"/>
          <w:highlight w:val="none"/>
        </w:rPr>
        <w:t>近亲属代为提出劳动能力鉴定申请的，需提交亲属关系相关佐证材料。</w:t>
      </w:r>
    </w:p>
    <w:p w14:paraId="06F757F5">
      <w:pPr>
        <w:pStyle w:val="19"/>
        <w:spacing w:line="600" w:lineRule="exact"/>
        <w:ind w:firstLine="640"/>
        <w:rPr>
          <w:rFonts w:eastAsia="仿宋_GB2312"/>
          <w:color w:val="000000"/>
          <w:sz w:val="32"/>
          <w:szCs w:val="32"/>
          <w:highlight w:val="none"/>
        </w:rPr>
      </w:pPr>
      <w:r>
        <w:rPr>
          <w:rFonts w:hint="eastAsia" w:eastAsia="仿宋_GB2312"/>
          <w:color w:val="000000" w:themeColor="text1"/>
          <w:sz w:val="32"/>
          <w:szCs w:val="32"/>
          <w:highlight w:val="none"/>
          <w14:textFill>
            <w14:solidFill>
              <w14:schemeClr w14:val="tx1"/>
            </w14:solidFill>
          </w14:textFill>
        </w:rPr>
        <w:t>五、劳动能力鉴定申请材料完整的，劳动能力鉴定委员会应当在5个工作日内受理。申请材料不完整的，申请人应在15日内提交补正材料，材料补正时间不计算在作出劳动能力鉴定结论的时限内。</w:t>
      </w:r>
      <w:r>
        <w:rPr>
          <w:rFonts w:hint="eastAsia" w:eastAsia="仿宋_GB2312"/>
          <w:color w:val="000000"/>
          <w:sz w:val="32"/>
          <w:szCs w:val="32"/>
          <w:highlight w:val="none"/>
        </w:rPr>
        <w:t>对补正后仍不符合要求的，劳动能力鉴定委员会应当在</w:t>
      </w:r>
      <w:r>
        <w:rPr>
          <w:rFonts w:eastAsia="仿宋_GB2312"/>
          <w:color w:val="000000"/>
          <w:sz w:val="32"/>
          <w:szCs w:val="32"/>
          <w:highlight w:val="none"/>
        </w:rPr>
        <w:t>5</w:t>
      </w:r>
      <w:r>
        <w:rPr>
          <w:rFonts w:hint="eastAsia" w:eastAsia="仿宋_GB2312"/>
          <w:color w:val="000000"/>
          <w:sz w:val="32"/>
          <w:szCs w:val="32"/>
          <w:highlight w:val="none"/>
        </w:rPr>
        <w:t>个工作日内作出不予受理决定并出具相应文书。</w:t>
      </w:r>
    </w:p>
    <w:p w14:paraId="48B33780">
      <w:pPr>
        <w:pStyle w:val="19"/>
        <w:spacing w:line="600" w:lineRule="exact"/>
        <w:ind w:firstLine="640"/>
        <w:rPr>
          <w:rFonts w:eastAsia="仿宋_GB2312"/>
          <w:color w:val="000000"/>
          <w:sz w:val="32"/>
          <w:szCs w:val="32"/>
          <w:highlight w:val="none"/>
        </w:rPr>
      </w:pPr>
      <w:r>
        <w:rPr>
          <w:rFonts w:hint="eastAsia" w:eastAsia="仿宋_GB2312"/>
          <w:color w:val="000000"/>
          <w:sz w:val="32"/>
          <w:szCs w:val="32"/>
          <w:highlight w:val="none"/>
        </w:rPr>
        <w:t>劳动能力鉴定申请审核过程中，发现有不属于劳动能力鉴定委员会管辖范围的，工伤职工与用人单位终止、解除劳动（聘用）合同并已经按规定领取一次性工伤待遇终止工伤保险关系的，或者其他不属于法律、法规、规章规定的劳动能力鉴定情形，不予受理劳动能力鉴定申请。</w:t>
      </w:r>
    </w:p>
    <w:p w14:paraId="368285FA">
      <w:pPr>
        <w:pStyle w:val="19"/>
        <w:spacing w:line="600" w:lineRule="exact"/>
        <w:ind w:firstLine="640"/>
        <w:rPr>
          <w:rFonts w:eastAsia="仿宋_GB2312"/>
          <w:color w:val="000000"/>
          <w:sz w:val="32"/>
          <w:szCs w:val="32"/>
          <w:highlight w:val="none"/>
        </w:rPr>
      </w:pPr>
      <w:r>
        <w:rPr>
          <w:rFonts w:hint="eastAsia" w:eastAsia="仿宋_GB2312"/>
          <w:color w:val="000000"/>
          <w:sz w:val="32"/>
          <w:szCs w:val="32"/>
          <w:highlight w:val="none"/>
        </w:rPr>
        <w:t>六、被鉴定人因故不能按时参加鉴定的，可以提出延期鉴定申请并书面说明理由，经劳动能力鉴定委员会同意，可以适当调整现场鉴定的时间，作出劳动能力鉴定结论的期限相应顺延。经两次调整鉴定时间后被鉴定人仍不能按时参加鉴定的，其他因被鉴定人自身原因或者不可抗力等客观原因导致鉴定程序无法正常进行的，当次鉴定终止。</w:t>
      </w:r>
    </w:p>
    <w:p w14:paraId="45BF57AA">
      <w:pPr>
        <w:pStyle w:val="19"/>
        <w:spacing w:line="600" w:lineRule="exact"/>
        <w:ind w:firstLine="640"/>
        <w:rPr>
          <w:rFonts w:eastAsia="仿宋_GB2312"/>
          <w:color w:val="000000"/>
          <w:sz w:val="32"/>
          <w:szCs w:val="32"/>
          <w:highlight w:val="none"/>
        </w:rPr>
      </w:pPr>
      <w:r>
        <w:rPr>
          <w:rFonts w:hint="eastAsia" w:eastAsia="仿宋_GB2312"/>
          <w:color w:val="000000"/>
          <w:sz w:val="32"/>
          <w:szCs w:val="32"/>
          <w:highlight w:val="none"/>
        </w:rPr>
        <w:t>被鉴定人因伤病情危重无法自主行动，且不能采用常规辅助手段到达指定地点参加现场鉴定的，申请人提出申请</w:t>
      </w:r>
      <w:r>
        <w:rPr>
          <w:rFonts w:hint="eastAsia" w:eastAsia="仿宋_GB2312"/>
          <w:color w:val="000000"/>
          <w:sz w:val="32"/>
          <w:szCs w:val="32"/>
          <w:highlight w:val="none"/>
          <w:lang w:eastAsia="zh-CN"/>
        </w:rPr>
        <w:t>并</w:t>
      </w:r>
      <w:r>
        <w:rPr>
          <w:rFonts w:hint="eastAsia" w:eastAsia="仿宋_GB2312"/>
          <w:color w:val="000000"/>
          <w:sz w:val="32"/>
          <w:szCs w:val="32"/>
          <w:highlight w:val="none"/>
        </w:rPr>
        <w:t>经劳动能力鉴定委员会同意，可以采取上门鉴定、委托鉴定等方式进行鉴定。上门鉴定时，工作人员应当对被鉴定人身份进行核实和确认，根据申请人提供的相关病历材料，组织相关科别的专家进行查体，查体过程应当采集必要的视频资料，查体专家应当向专家组汇报查体情况，经专家组讨论提出鉴定意见。</w:t>
      </w:r>
    </w:p>
    <w:p w14:paraId="556A2416">
      <w:pPr>
        <w:pStyle w:val="19"/>
        <w:spacing w:line="600" w:lineRule="exact"/>
        <w:ind w:firstLine="640"/>
        <w:rPr>
          <w:rFonts w:eastAsia="仿宋_GB2312"/>
          <w:color w:val="000000"/>
          <w:sz w:val="32"/>
          <w:szCs w:val="32"/>
          <w:highlight w:val="none"/>
        </w:rPr>
      </w:pPr>
      <w:r>
        <w:rPr>
          <w:rFonts w:hint="eastAsia" w:eastAsia="仿宋_GB2312"/>
          <w:color w:val="000000"/>
          <w:sz w:val="32"/>
          <w:szCs w:val="32"/>
          <w:highlight w:val="none"/>
        </w:rPr>
        <w:t>因鉴定工作需要，专家组认为应当进行有关检查和诊断的，劳动能力鉴定委员会可以委托具备资格的医疗机构协助进行有关检查和诊断，补充检查和诊断的时间不计入</w:t>
      </w:r>
      <w:r>
        <w:rPr>
          <w:rFonts w:eastAsia="仿宋_GB2312"/>
          <w:color w:val="000000"/>
          <w:sz w:val="32"/>
          <w:szCs w:val="32"/>
          <w:highlight w:val="none"/>
        </w:rPr>
        <w:t>作出</w:t>
      </w:r>
      <w:r>
        <w:rPr>
          <w:rFonts w:hint="eastAsia" w:eastAsia="仿宋_GB2312"/>
          <w:color w:val="000000"/>
          <w:sz w:val="32"/>
          <w:szCs w:val="32"/>
          <w:highlight w:val="none"/>
        </w:rPr>
        <w:t>鉴定结论的时限内。</w:t>
      </w:r>
    </w:p>
    <w:p w14:paraId="2BECF834">
      <w:pPr>
        <w:spacing w:line="600" w:lineRule="exact"/>
        <w:ind w:firstLine="640"/>
        <w:rPr>
          <w:highlight w:val="none"/>
        </w:rPr>
      </w:pPr>
      <w:r>
        <w:rPr>
          <w:rFonts w:hint="eastAsia" w:eastAsia="仿宋_GB2312"/>
          <w:color w:val="000000"/>
          <w:sz w:val="32"/>
          <w:szCs w:val="32"/>
          <w:highlight w:val="none"/>
        </w:rPr>
        <w:t>七、</w:t>
      </w:r>
      <w:r>
        <w:rPr>
          <w:rFonts w:hint="eastAsia" w:eastAsia="仿宋_GB2312"/>
          <w:color w:val="000000"/>
          <w:kern w:val="0"/>
          <w:sz w:val="32"/>
          <w:szCs w:val="32"/>
          <w:highlight w:val="none"/>
        </w:rPr>
        <w:t>劳动能力鉴定委员会应当自作出鉴定结论之日起</w:t>
      </w:r>
      <w:r>
        <w:rPr>
          <w:rFonts w:ascii="Times New Roman" w:hAnsi="Times New Roman" w:eastAsia="仿宋_GB2312" w:cs="Times New Roman"/>
          <w:color w:val="000000"/>
          <w:kern w:val="0"/>
          <w:sz w:val="32"/>
          <w:szCs w:val="32"/>
          <w:highlight w:val="none"/>
        </w:rPr>
        <w:t>15</w:t>
      </w:r>
      <w:r>
        <w:rPr>
          <w:rFonts w:hint="eastAsia" w:eastAsia="仿宋_GB2312"/>
          <w:color w:val="000000"/>
          <w:kern w:val="0"/>
          <w:sz w:val="32"/>
          <w:szCs w:val="32"/>
          <w:highlight w:val="none"/>
        </w:rPr>
        <w:t>日内将劳动能力鉴定结论及时送达被鉴定人及其用人单位（存档机构），并通过信息系统共享至人社行政部门和社会保险经办机构</w:t>
      </w:r>
      <w:r>
        <w:rPr>
          <w:rFonts w:hint="eastAsia" w:eastAsia="仿宋_GB2312"/>
          <w:color w:val="000000"/>
          <w:sz w:val="32"/>
          <w:szCs w:val="32"/>
          <w:highlight w:val="none"/>
        </w:rPr>
        <w:t>。鉴定结论送达方式可参照法律法规有关送达的规定执行。</w:t>
      </w:r>
    </w:p>
    <w:p w14:paraId="278E05AA">
      <w:pPr>
        <w:pStyle w:val="19"/>
        <w:spacing w:line="600" w:lineRule="exact"/>
        <w:ind w:firstLine="640"/>
        <w:rPr>
          <w:rFonts w:eastAsia="仿宋_GB2312"/>
          <w:color w:val="000000"/>
          <w:sz w:val="32"/>
          <w:szCs w:val="32"/>
          <w:highlight w:val="none"/>
        </w:rPr>
      </w:pPr>
      <w:r>
        <w:rPr>
          <w:rFonts w:hint="eastAsia" w:eastAsia="仿宋_GB2312"/>
          <w:color w:val="000000"/>
          <w:sz w:val="32"/>
          <w:szCs w:val="32"/>
          <w:highlight w:val="none"/>
        </w:rPr>
        <w:t>八、工伤职工或其用人单位、</w:t>
      </w:r>
      <w:r>
        <w:rPr>
          <w:rFonts w:eastAsia="仿宋_GB2312"/>
          <w:color w:val="000000"/>
          <w:sz w:val="32"/>
          <w:szCs w:val="32"/>
          <w:highlight w:val="none"/>
        </w:rPr>
        <w:t>因病或非因工致残人员</w:t>
      </w:r>
      <w:r>
        <w:rPr>
          <w:rFonts w:hint="eastAsia" w:eastAsia="仿宋_GB2312"/>
          <w:color w:val="000000"/>
          <w:sz w:val="32"/>
          <w:szCs w:val="32"/>
          <w:highlight w:val="none"/>
        </w:rPr>
        <w:t>或其用人单位对初次鉴定结论不服的，可在收到该鉴定结论之日起15日内提出再次鉴定申请，并提供收到初次鉴定结论时间的相关佐证材料。市劳动能力鉴定委员会收到再次鉴定申请后，应通知相应区劳动能力鉴定委员会于</w:t>
      </w:r>
      <w:r>
        <w:rPr>
          <w:rFonts w:eastAsia="仿宋_GB2312"/>
          <w:color w:val="000000"/>
          <w:sz w:val="32"/>
          <w:szCs w:val="32"/>
          <w:highlight w:val="none"/>
        </w:rPr>
        <w:t>5</w:t>
      </w:r>
      <w:r>
        <w:rPr>
          <w:rFonts w:hint="eastAsia" w:eastAsia="仿宋_GB2312"/>
          <w:color w:val="000000"/>
          <w:sz w:val="32"/>
          <w:szCs w:val="32"/>
          <w:highlight w:val="none"/>
        </w:rPr>
        <w:t>个工作日内移送有关材料。</w:t>
      </w:r>
    </w:p>
    <w:p w14:paraId="5FCFF6E1">
      <w:pPr>
        <w:pStyle w:val="19"/>
        <w:spacing w:line="600" w:lineRule="exact"/>
        <w:ind w:firstLine="640"/>
        <w:rPr>
          <w:rFonts w:eastAsia="仿宋_GB2312"/>
          <w:color w:val="000000"/>
          <w:sz w:val="32"/>
          <w:szCs w:val="32"/>
          <w:highlight w:val="none"/>
        </w:rPr>
      </w:pPr>
      <w:r>
        <w:rPr>
          <w:rFonts w:hint="eastAsia" w:eastAsia="仿宋_GB2312"/>
          <w:color w:val="000000"/>
          <w:sz w:val="32"/>
          <w:szCs w:val="32"/>
          <w:highlight w:val="none"/>
        </w:rPr>
        <w:t>九、市劳动能力鉴定委员会组织专家组再次鉴定时，如发现原鉴定结论遗漏《认定工伤决定书》载明的对劳动功能障碍程度和生活自理障碍程度等级有影响的受伤部位、伤情的，或者被鉴定人伤情未相对稳定的，可发回原作出鉴定结论的区劳动能力鉴定委员会重新鉴定，由</w:t>
      </w:r>
      <w:r>
        <w:rPr>
          <w:rFonts w:eastAsia="仿宋_GB2312"/>
          <w:color w:val="000000"/>
          <w:sz w:val="32"/>
          <w:szCs w:val="32"/>
          <w:highlight w:val="none"/>
        </w:rPr>
        <w:t>原作出鉴定结论的区劳动能力鉴定委员会</w:t>
      </w:r>
      <w:r>
        <w:rPr>
          <w:rFonts w:hint="eastAsia" w:eastAsia="仿宋_GB2312"/>
          <w:color w:val="000000"/>
          <w:sz w:val="32"/>
          <w:szCs w:val="32"/>
          <w:highlight w:val="none"/>
        </w:rPr>
        <w:t>进行纠正或撤销。</w:t>
      </w:r>
    </w:p>
    <w:p w14:paraId="3C48319A">
      <w:pPr>
        <w:pStyle w:val="19"/>
        <w:spacing w:line="600" w:lineRule="exact"/>
        <w:ind w:firstLine="640"/>
        <w:rPr>
          <w:rFonts w:eastAsia="仿宋_GB2312"/>
          <w:color w:val="000000"/>
          <w:sz w:val="32"/>
          <w:szCs w:val="32"/>
          <w:highlight w:val="none"/>
        </w:rPr>
      </w:pPr>
      <w:r>
        <w:rPr>
          <w:rFonts w:hint="eastAsia" w:eastAsia="仿宋_GB2312"/>
          <w:color w:val="000000"/>
          <w:sz w:val="32"/>
          <w:szCs w:val="32"/>
          <w:highlight w:val="none"/>
        </w:rPr>
        <w:t>十、认定工伤结论撤销的，与被撤销的认定工伤结论相关联的劳动能力鉴定结论应当予以撤销。</w:t>
      </w:r>
    </w:p>
    <w:p w14:paraId="4191C30A">
      <w:pPr>
        <w:pStyle w:val="19"/>
        <w:spacing w:line="600" w:lineRule="exact"/>
        <w:ind w:firstLine="640"/>
        <w:rPr>
          <w:rFonts w:eastAsia="仿宋_GB2312"/>
          <w:color w:val="000000"/>
          <w:sz w:val="32"/>
          <w:szCs w:val="32"/>
          <w:highlight w:val="none"/>
        </w:rPr>
      </w:pPr>
      <w:r>
        <w:rPr>
          <w:rFonts w:hint="eastAsia" w:eastAsia="仿宋_GB2312"/>
          <w:color w:val="000000"/>
          <w:sz w:val="32"/>
          <w:szCs w:val="32"/>
          <w:highlight w:val="none"/>
        </w:rPr>
        <w:t>十一、建立全市统一的劳动能力鉴定专家库。劳动能力鉴定专家库实行动态管理，每</w:t>
      </w:r>
      <w:r>
        <w:rPr>
          <w:rFonts w:eastAsia="仿宋_GB2312"/>
          <w:color w:val="000000"/>
          <w:sz w:val="32"/>
          <w:szCs w:val="32"/>
          <w:highlight w:val="none"/>
        </w:rPr>
        <w:t>3</w:t>
      </w:r>
      <w:r>
        <w:rPr>
          <w:rFonts w:hint="eastAsia" w:eastAsia="仿宋_GB2312"/>
          <w:color w:val="000000"/>
          <w:sz w:val="32"/>
          <w:szCs w:val="32"/>
          <w:highlight w:val="none"/>
        </w:rPr>
        <w:t>年进行一次调整和补充，确有需要的</w:t>
      </w:r>
      <w:r>
        <w:rPr>
          <w:rFonts w:hint="eastAsia" w:ascii="Times New Roman" w:eastAsia="仿宋_GB2312"/>
          <w:color w:val="000000"/>
          <w:sz w:val="32"/>
          <w:szCs w:val="32"/>
          <w:highlight w:val="none"/>
        </w:rPr>
        <w:t>适时调整。</w:t>
      </w:r>
    </w:p>
    <w:p w14:paraId="14776896">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十二、劳动能力鉴定委员会可根据被鉴定人实际伤病情况随机抽取相关医学专业的专家。被鉴定人伤病情涉及医学专业较多或伤病情况复杂的，专家组成人员可适当增加，但专家组人数应当为奇数，原则上应有</w:t>
      </w:r>
      <w:r>
        <w:rPr>
          <w:rFonts w:hint="eastAsia" w:ascii="Times New Roman" w:hAnsi="Times New Roman" w:eastAsia="仿宋_GB2312" w:cs="Times New Roman"/>
          <w:color w:val="000000"/>
          <w:sz w:val="32"/>
          <w:szCs w:val="32"/>
          <w:highlight w:val="none"/>
        </w:rPr>
        <w:t>1</w:t>
      </w:r>
      <w:r>
        <w:rPr>
          <w:rFonts w:hint="eastAsia" w:eastAsia="仿宋_GB2312"/>
          <w:color w:val="000000"/>
          <w:sz w:val="32"/>
          <w:szCs w:val="32"/>
          <w:highlight w:val="none"/>
        </w:rPr>
        <w:t>名非作出认定工伤决定所在区医疗机构的鉴定专家。</w:t>
      </w:r>
    </w:p>
    <w:p w14:paraId="28B2C7A7">
      <w:pPr>
        <w:pStyle w:val="19"/>
        <w:spacing w:line="600" w:lineRule="exact"/>
        <w:ind w:firstLine="640"/>
        <w:rPr>
          <w:rFonts w:eastAsia="仿宋_GB2312"/>
          <w:color w:val="000000"/>
          <w:sz w:val="32"/>
          <w:szCs w:val="32"/>
          <w:highlight w:val="none"/>
        </w:rPr>
      </w:pPr>
      <w:r>
        <w:rPr>
          <w:rFonts w:hint="eastAsia" w:eastAsia="仿宋_GB2312"/>
          <w:color w:val="000000"/>
          <w:sz w:val="32"/>
          <w:szCs w:val="32"/>
          <w:highlight w:val="none"/>
        </w:rPr>
        <w:t>十三、劳动能力鉴定专家应当严格执行劳动能力鉴定政策和标准，仔细查阅被鉴定人的医学诊断等相关鉴定材料，听取被鉴定人伤病情况陈述，认真核对伤情部位，如实记录体征和检查诊断情况，客观公正地提出鉴定意见。鉴定过程中，不向被鉴定人透露有关鉴定结论信息。</w:t>
      </w:r>
    </w:p>
    <w:p w14:paraId="0E1D8155">
      <w:pPr>
        <w:spacing w:line="600" w:lineRule="exact"/>
        <w:ind w:firstLine="640" w:firstLineChars="200"/>
        <w:rPr>
          <w:rFonts w:ascii="Times New Roman" w:eastAsia="仿宋_GB2312"/>
          <w:color w:val="000000"/>
          <w:sz w:val="32"/>
          <w:szCs w:val="32"/>
          <w:highlight w:val="none"/>
        </w:rPr>
      </w:pPr>
      <w:r>
        <w:rPr>
          <w:rFonts w:hint="eastAsia" w:ascii="Times New Roman" w:eastAsia="仿宋_GB2312"/>
          <w:color w:val="000000"/>
          <w:sz w:val="32"/>
          <w:szCs w:val="32"/>
          <w:highlight w:val="none"/>
        </w:rPr>
        <w:t>十四、</w:t>
      </w:r>
      <w:r>
        <w:rPr>
          <w:rFonts w:hint="eastAsia" w:eastAsia="仿宋_GB2312"/>
          <w:color w:val="000000"/>
          <w:sz w:val="32"/>
          <w:szCs w:val="32"/>
          <w:highlight w:val="none"/>
        </w:rPr>
        <w:t>劳动能力鉴定委员会组成人员、劳动能力鉴定工作人员</w:t>
      </w:r>
      <w:r>
        <w:rPr>
          <w:rFonts w:hint="eastAsia" w:eastAsia="仿宋_GB2312"/>
          <w:color w:val="000000"/>
          <w:sz w:val="32"/>
          <w:szCs w:val="32"/>
          <w:highlight w:val="none"/>
          <w:lang w:eastAsia="zh-CN"/>
        </w:rPr>
        <w:t>、</w:t>
      </w:r>
      <w:r>
        <w:rPr>
          <w:rFonts w:hint="eastAsia" w:eastAsia="仿宋_GB2312"/>
          <w:color w:val="000000"/>
          <w:sz w:val="32"/>
          <w:szCs w:val="32"/>
          <w:highlight w:val="none"/>
        </w:rPr>
        <w:t>鉴定专家是被鉴定人近亲属、经治医生或被鉴定人初次</w:t>
      </w:r>
      <w:r>
        <w:rPr>
          <w:rFonts w:eastAsia="仿宋_GB2312"/>
          <w:color w:val="000000"/>
          <w:sz w:val="32"/>
          <w:szCs w:val="32"/>
          <w:highlight w:val="none"/>
        </w:rPr>
        <w:t>鉴定</w:t>
      </w:r>
      <w:r>
        <w:rPr>
          <w:rFonts w:hint="eastAsia" w:eastAsia="仿宋_GB2312"/>
          <w:color w:val="000000"/>
          <w:sz w:val="32"/>
          <w:szCs w:val="32"/>
          <w:highlight w:val="none"/>
        </w:rPr>
        <w:t>专家组成员的应当回避。</w:t>
      </w:r>
    </w:p>
    <w:p w14:paraId="31DBA643">
      <w:pPr>
        <w:pStyle w:val="19"/>
        <w:spacing w:line="600" w:lineRule="exact"/>
        <w:ind w:firstLine="640"/>
        <w:rPr>
          <w:rFonts w:eastAsia="仿宋_GB2312"/>
          <w:color w:val="000000"/>
          <w:sz w:val="32"/>
          <w:szCs w:val="32"/>
        </w:rPr>
      </w:pPr>
      <w:r>
        <w:rPr>
          <w:rFonts w:hint="eastAsia" w:eastAsia="仿宋_GB2312"/>
          <w:color w:val="000000"/>
          <w:sz w:val="32"/>
          <w:szCs w:val="32"/>
          <w:highlight w:val="none"/>
        </w:rPr>
        <w:t>十五、</w:t>
      </w:r>
      <w:r>
        <w:rPr>
          <w:rFonts w:hint="eastAsia" w:ascii="Times New Roman" w:eastAsia="仿宋_GB2312"/>
          <w:color w:val="000000"/>
          <w:sz w:val="32"/>
          <w:szCs w:val="32"/>
          <w:highlight w:val="none"/>
        </w:rPr>
        <w:t>劳动能力鉴定委员会应当建立健全业务、安全和风险管理等内部控制制度，科学设置岗位</w:t>
      </w:r>
      <w:r>
        <w:rPr>
          <w:rFonts w:hint="eastAsia" w:ascii="Times New Roman" w:eastAsia="仿宋_GB2312"/>
          <w:color w:val="000000"/>
          <w:sz w:val="32"/>
          <w:szCs w:val="32"/>
        </w:rPr>
        <w:t>权限，规范审核复核管理，严禁“一人通办”。</w:t>
      </w:r>
    </w:p>
    <w:p w14:paraId="308F46F5">
      <w:pPr>
        <w:pStyle w:val="19"/>
        <w:spacing w:line="600" w:lineRule="exact"/>
        <w:ind w:firstLine="640"/>
        <w:rPr>
          <w:rFonts w:ascii="Times New Roman" w:eastAsia="仿宋_GB2312"/>
          <w:color w:val="000000"/>
          <w:sz w:val="32"/>
          <w:szCs w:val="32"/>
        </w:rPr>
      </w:pPr>
      <w:r>
        <w:rPr>
          <w:rFonts w:hint="eastAsia" w:eastAsia="仿宋_GB2312"/>
          <w:color w:val="000000"/>
          <w:sz w:val="32"/>
          <w:szCs w:val="32"/>
        </w:rPr>
        <w:t>十六、劳动能力鉴定委员会应当加强与卫生健康、医疗保障等行政部门以及医疗机构的信息共享。对诊断证明、病历资料等申请材料的真实性或准确性存在疑点的，协调社保经办机构、医疗机构和医疗保障部门进行信息比对核验。对疑似弄虚作假的，由卫生健康部门责成相关医疗机构核查核实。</w:t>
      </w:r>
    </w:p>
    <w:p w14:paraId="3EF6BD68">
      <w:pPr>
        <w:pStyle w:val="19"/>
        <w:numPr>
          <w:ilvl w:val="255"/>
          <w:numId w:val="0"/>
        </w:numPr>
        <w:spacing w:line="600" w:lineRule="exact"/>
        <w:ind w:firstLine="640" w:firstLineChars="200"/>
        <w:rPr>
          <w:rFonts w:eastAsia="仿宋_GB2312"/>
          <w:color w:val="000000"/>
          <w:sz w:val="32"/>
          <w:szCs w:val="32"/>
        </w:rPr>
      </w:pPr>
      <w:r>
        <w:rPr>
          <w:rFonts w:hint="eastAsia" w:eastAsia="仿宋_GB2312"/>
          <w:color w:val="000000"/>
          <w:sz w:val="32"/>
          <w:szCs w:val="32"/>
        </w:rPr>
        <w:t>十七、加强劳动能力鉴定专家管理，强化专家选聘、培训和监督。劳动能力鉴定专家存在提供虚假鉴定意见、利用职务之便非法收受当事人财物、接受请托为当事人谋取不正当利益</w:t>
      </w:r>
      <w:r>
        <w:rPr>
          <w:rFonts w:ascii="Times New Roman" w:eastAsia="仿宋_GB2312"/>
          <w:color w:val="000000"/>
          <w:sz w:val="32"/>
          <w:szCs w:val="32"/>
        </w:rPr>
        <w:t>等行为的，劳动能力鉴定委员会应当予以解聘；情节严重的，由卫生健康行政部门依法处理；构成犯罪的，依法追究刑事责任。</w:t>
      </w:r>
    </w:p>
    <w:p w14:paraId="0558A185">
      <w:pPr>
        <w:pStyle w:val="19"/>
        <w:spacing w:line="600" w:lineRule="exact"/>
        <w:ind w:firstLine="640"/>
        <w:rPr>
          <w:rFonts w:eastAsia="仿宋_GB2312"/>
          <w:color w:val="000000"/>
          <w:sz w:val="32"/>
          <w:szCs w:val="32"/>
        </w:rPr>
      </w:pPr>
      <w:r>
        <w:rPr>
          <w:rFonts w:hint="eastAsia" w:ascii="Times New Roman" w:eastAsia="仿宋_GB2312"/>
          <w:color w:val="000000"/>
          <w:sz w:val="32"/>
          <w:szCs w:val="32"/>
        </w:rPr>
        <w:t>十八、任何组织或个人不得</w:t>
      </w:r>
      <w:r>
        <w:rPr>
          <w:rFonts w:ascii="Times New Roman" w:eastAsia="仿宋_GB2312"/>
          <w:color w:val="000000"/>
          <w:sz w:val="32"/>
          <w:szCs w:val="32"/>
        </w:rPr>
        <w:t>干扰现场鉴定秩序，构成违法或犯罪的，依法追究行政或刑事责任。</w:t>
      </w:r>
    </w:p>
    <w:p w14:paraId="3982368F">
      <w:pPr>
        <w:pStyle w:val="19"/>
        <w:spacing w:line="600" w:lineRule="exact"/>
        <w:ind w:firstLine="640"/>
        <w:rPr>
          <w:rFonts w:eastAsia="仿宋_GB2312"/>
          <w:color w:val="000000"/>
          <w:sz w:val="32"/>
          <w:szCs w:val="32"/>
        </w:rPr>
      </w:pPr>
      <w:r>
        <w:rPr>
          <w:rFonts w:hint="eastAsia" w:eastAsia="仿宋_GB2312"/>
          <w:color w:val="000000"/>
          <w:sz w:val="32"/>
          <w:szCs w:val="32"/>
        </w:rPr>
        <w:t>十九、劳动能力鉴定委员会受外省市劳动能力鉴定委员会等相关机构委托</w:t>
      </w:r>
      <w:r>
        <w:rPr>
          <w:rFonts w:ascii="Times New Roman" w:eastAsia="仿宋_GB2312"/>
          <w:color w:val="000000"/>
          <w:sz w:val="32"/>
          <w:szCs w:val="32"/>
        </w:rPr>
        <w:t>，</w:t>
      </w:r>
      <w:r>
        <w:rPr>
          <w:rFonts w:hint="eastAsia" w:eastAsia="仿宋_GB2312"/>
          <w:color w:val="000000"/>
          <w:sz w:val="32"/>
          <w:szCs w:val="32"/>
        </w:rPr>
        <w:t>开展工伤人员劳动能力鉴定和</w:t>
      </w:r>
      <w:r>
        <w:rPr>
          <w:rFonts w:hint="eastAsia" w:ascii="Times New Roman" w:eastAsia="仿宋_GB2312"/>
          <w:color w:val="000000"/>
          <w:sz w:val="32"/>
          <w:szCs w:val="32"/>
        </w:rPr>
        <w:t>因病或非因工致残人员丧失劳动能力程度鉴定的</w:t>
      </w:r>
      <w:r>
        <w:rPr>
          <w:rFonts w:hint="eastAsia" w:eastAsia="仿宋_GB2312"/>
          <w:color w:val="000000"/>
          <w:sz w:val="32"/>
          <w:szCs w:val="32"/>
          <w:lang w:eastAsia="zh-CN"/>
        </w:rPr>
        <w:t>，</w:t>
      </w:r>
      <w:r>
        <w:rPr>
          <w:rFonts w:hint="eastAsia" w:ascii="Times New Roman" w:eastAsia="仿宋_GB2312"/>
          <w:color w:val="000000"/>
          <w:sz w:val="32"/>
          <w:szCs w:val="32"/>
        </w:rPr>
        <w:t>按照国家和我市有关规定组织开展</w:t>
      </w:r>
      <w:r>
        <w:rPr>
          <w:rFonts w:hint="eastAsia" w:eastAsia="仿宋_GB2312"/>
          <w:color w:val="000000"/>
          <w:sz w:val="32"/>
          <w:szCs w:val="32"/>
        </w:rPr>
        <w:t>。</w:t>
      </w:r>
    </w:p>
    <w:p w14:paraId="1C80EBC9">
      <w:pPr>
        <w:pStyle w:val="19"/>
        <w:spacing w:line="600" w:lineRule="exact"/>
        <w:ind w:firstLine="640"/>
        <w:rPr>
          <w:rFonts w:eastAsia="仿宋_GB2312"/>
          <w:color w:val="000000"/>
          <w:sz w:val="32"/>
          <w:szCs w:val="32"/>
        </w:rPr>
      </w:pPr>
      <w:r>
        <w:rPr>
          <w:rFonts w:hint="eastAsia" w:eastAsia="仿宋_GB2312"/>
          <w:color w:val="000000"/>
          <w:sz w:val="32"/>
          <w:szCs w:val="32"/>
        </w:rPr>
        <w:t>二十、机关事业单位养老保险参保人员丧失劳动能力程度鉴定</w:t>
      </w:r>
      <w:r>
        <w:rPr>
          <w:rFonts w:hint="eastAsia" w:eastAsia="仿宋_GB2312"/>
          <w:color w:val="000000"/>
          <w:sz w:val="32"/>
          <w:szCs w:val="32"/>
          <w:lang w:eastAsia="zh-CN"/>
        </w:rPr>
        <w:t>，</w:t>
      </w:r>
      <w:r>
        <w:rPr>
          <w:rFonts w:hint="eastAsia" w:eastAsia="仿宋_GB2312"/>
          <w:color w:val="000000"/>
          <w:sz w:val="32"/>
          <w:szCs w:val="32"/>
        </w:rPr>
        <w:t>其程序参照因病非因工致残人员丧失劳动能力程度鉴定相关规定执行。</w:t>
      </w:r>
    </w:p>
    <w:p w14:paraId="7F0F4129">
      <w:pPr>
        <w:pStyle w:val="19"/>
        <w:spacing w:line="600" w:lineRule="exact"/>
        <w:ind w:firstLine="640"/>
        <w:rPr>
          <w:rFonts w:eastAsia="仿宋_GB2312"/>
          <w:color w:val="000000"/>
          <w:sz w:val="32"/>
          <w:szCs w:val="32"/>
        </w:rPr>
      </w:pPr>
      <w:r>
        <w:rPr>
          <w:rFonts w:eastAsia="仿宋_GB2312"/>
          <w:color w:val="000000"/>
          <w:sz w:val="32"/>
          <w:szCs w:val="32"/>
        </w:rPr>
        <w:t>本通知自2026年7月1日起执行。</w:t>
      </w:r>
    </w:p>
    <w:p w14:paraId="40365834">
      <w:pPr>
        <w:pStyle w:val="19"/>
        <w:spacing w:line="600" w:lineRule="exact"/>
        <w:ind w:firstLine="640"/>
        <w:rPr>
          <w:rFonts w:eastAsia="仿宋_GB2312"/>
          <w:color w:val="000000"/>
          <w:sz w:val="32"/>
          <w:szCs w:val="32"/>
        </w:rPr>
      </w:pPr>
    </w:p>
    <w:p w14:paraId="0901A82D">
      <w:pPr>
        <w:pStyle w:val="19"/>
        <w:tabs>
          <w:tab w:val="left" w:pos="4395"/>
        </w:tabs>
        <w:spacing w:line="600" w:lineRule="exact"/>
        <w:ind w:firstLine="640"/>
        <w:rPr>
          <w:rFonts w:eastAsia="仿宋_GB2312"/>
          <w:color w:val="000000"/>
          <w:sz w:val="32"/>
          <w:szCs w:val="32"/>
        </w:rPr>
      </w:pPr>
      <w:r>
        <w:rPr>
          <w:rFonts w:hint="eastAsia" w:eastAsia="仿宋_GB2312"/>
          <w:color w:val="000000"/>
          <w:sz w:val="32"/>
          <w:szCs w:val="32"/>
        </w:rPr>
        <w:t>附件：</w:t>
      </w:r>
      <w:r>
        <w:rPr>
          <w:rFonts w:eastAsia="仿宋_GB2312"/>
          <w:color w:val="000000"/>
          <w:sz w:val="32"/>
          <w:szCs w:val="32"/>
        </w:rPr>
        <w:t>1</w:t>
      </w:r>
      <w:r>
        <w:rPr>
          <w:rFonts w:hint="eastAsia" w:eastAsia="仿宋_GB2312"/>
          <w:color w:val="000000"/>
          <w:sz w:val="32"/>
          <w:szCs w:val="32"/>
          <w:lang w:eastAsia="zh-CN"/>
        </w:rPr>
        <w:t>．</w:t>
      </w:r>
      <w:r>
        <w:rPr>
          <w:rFonts w:hint="eastAsia" w:eastAsia="仿宋_GB2312"/>
          <w:color w:val="000000"/>
          <w:sz w:val="32"/>
          <w:szCs w:val="32"/>
        </w:rPr>
        <w:t>劳动能力鉴定申请表（工伤）</w:t>
      </w:r>
    </w:p>
    <w:p w14:paraId="03AD1AE7">
      <w:pPr>
        <w:pStyle w:val="19"/>
        <w:numPr>
          <w:ilvl w:val="255"/>
          <w:numId w:val="0"/>
        </w:numPr>
        <w:spacing w:line="600" w:lineRule="exact"/>
        <w:ind w:firstLine="1600" w:firstLineChars="5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lang w:eastAsia="zh-CN"/>
        </w:rPr>
        <w:t>．</w:t>
      </w:r>
      <w:r>
        <w:rPr>
          <w:rFonts w:hint="eastAsia" w:eastAsia="仿宋_GB2312"/>
          <w:color w:val="000000"/>
          <w:sz w:val="32"/>
          <w:szCs w:val="32"/>
        </w:rPr>
        <w:t>劳动能力鉴定申请表（因病或非因工致残）</w:t>
      </w:r>
    </w:p>
    <w:p w14:paraId="20B65931">
      <w:pPr>
        <w:pStyle w:val="19"/>
        <w:spacing w:line="600" w:lineRule="exact"/>
        <w:ind w:firstLine="1600" w:firstLineChars="500"/>
        <w:rPr>
          <w:rFonts w:hint="eastAsia" w:eastAsia="仿宋_GB2312"/>
          <w:color w:val="000000"/>
          <w:sz w:val="32"/>
          <w:szCs w:val="32"/>
        </w:rPr>
      </w:pPr>
      <w:r>
        <w:rPr>
          <w:rFonts w:hint="eastAsia" w:eastAsia="仿宋_GB2312"/>
          <w:color w:val="000000"/>
          <w:sz w:val="32"/>
          <w:szCs w:val="32"/>
        </w:rPr>
        <w:t xml:space="preserve">                         </w:t>
      </w:r>
    </w:p>
    <w:p w14:paraId="644C7DC6">
      <w:pPr>
        <w:pStyle w:val="19"/>
        <w:spacing w:line="600" w:lineRule="exact"/>
        <w:ind w:firstLine="1600" w:firstLineChars="500"/>
        <w:rPr>
          <w:rFonts w:hint="eastAsia" w:eastAsia="仿宋_GB2312"/>
          <w:color w:val="000000"/>
          <w:sz w:val="32"/>
          <w:szCs w:val="32"/>
        </w:rPr>
      </w:pPr>
    </w:p>
    <w:p w14:paraId="4CF65600">
      <w:pPr>
        <w:pStyle w:val="19"/>
        <w:spacing w:line="600" w:lineRule="exact"/>
        <w:ind w:firstLine="1600" w:firstLineChars="500"/>
        <w:rPr>
          <w:rFonts w:hint="eastAsia" w:eastAsia="仿宋_GB2312"/>
          <w:color w:val="000000"/>
          <w:sz w:val="32"/>
          <w:szCs w:val="32"/>
        </w:rPr>
      </w:pPr>
    </w:p>
    <w:p w14:paraId="7A7AAF64">
      <w:pPr>
        <w:pStyle w:val="19"/>
        <w:spacing w:line="600" w:lineRule="exact"/>
        <w:ind w:firstLine="0" w:firstLineChars="0"/>
        <w:rPr>
          <w:rFonts w:hint="default" w:eastAsia="仿宋_GB2312"/>
          <w:color w:val="000000"/>
          <w:sz w:val="32"/>
          <w:szCs w:val="32"/>
          <w:lang w:val="en-US" w:eastAsia="zh-CN"/>
        </w:rPr>
      </w:pPr>
      <w:r>
        <w:rPr>
          <w:rFonts w:hint="eastAsia" w:eastAsia="仿宋_GB2312"/>
          <w:color w:val="000000"/>
          <w:sz w:val="32"/>
          <w:szCs w:val="32"/>
          <w:lang w:val="en-US" w:eastAsia="zh-CN"/>
        </w:rPr>
        <w:t xml:space="preserve">             </w:t>
      </w:r>
      <w:r>
        <w:rPr>
          <w:rFonts w:hint="eastAsia" w:eastAsia="仿宋_GB2312"/>
          <w:color w:val="000000"/>
          <w:sz w:val="32"/>
          <w:szCs w:val="32"/>
          <w:lang w:eastAsia="zh-CN"/>
        </w:rPr>
        <w:t>市人社局</w:t>
      </w:r>
      <w:r>
        <w:rPr>
          <w:rFonts w:hint="eastAsia" w:eastAsia="仿宋_GB2312"/>
          <w:color w:val="000000"/>
          <w:sz w:val="32"/>
          <w:szCs w:val="32"/>
          <w:lang w:val="en-US" w:eastAsia="zh-CN"/>
        </w:rPr>
        <w:t xml:space="preserve">            市卫生健康委</w:t>
      </w:r>
    </w:p>
    <w:p w14:paraId="75DAF6CB">
      <w:pPr>
        <w:pStyle w:val="19"/>
        <w:spacing w:line="600" w:lineRule="exact"/>
        <w:ind w:firstLine="0" w:firstLineChars="0"/>
        <w:rPr>
          <w:rFonts w:hint="eastAsia" w:eastAsia="仿宋_GB2312"/>
          <w:color w:val="000000"/>
          <w:sz w:val="32"/>
          <w:szCs w:val="32"/>
        </w:rPr>
      </w:pPr>
      <w:r>
        <w:rPr>
          <w:rFonts w:hint="eastAsia" w:eastAsia="仿宋_GB2312"/>
          <w:color w:val="000000"/>
          <w:sz w:val="32"/>
          <w:szCs w:val="32"/>
          <w:lang w:val="en-US" w:eastAsia="zh-CN"/>
        </w:rPr>
        <w:t xml:space="preserve">                                 </w:t>
      </w:r>
      <w:r>
        <w:rPr>
          <w:rFonts w:hint="eastAsia" w:eastAsia="仿宋_GB2312"/>
          <w:color w:val="000000"/>
          <w:sz w:val="32"/>
          <w:szCs w:val="32"/>
        </w:rPr>
        <w:t>2026年</w:t>
      </w:r>
      <w:r>
        <w:rPr>
          <w:rFonts w:hint="eastAsia" w:eastAsia="仿宋_GB2312"/>
          <w:color w:val="000000"/>
          <w:sz w:val="32"/>
          <w:szCs w:val="32"/>
          <w:lang w:val="en-US" w:eastAsia="zh-CN"/>
        </w:rPr>
        <w:t>6</w:t>
      </w:r>
      <w:r>
        <w:rPr>
          <w:rFonts w:hint="eastAsia" w:eastAsia="仿宋_GB2312"/>
          <w:color w:val="000000"/>
          <w:sz w:val="32"/>
          <w:szCs w:val="32"/>
        </w:rPr>
        <w:t>月</w:t>
      </w:r>
      <w:r>
        <w:rPr>
          <w:rFonts w:hint="eastAsia" w:eastAsia="仿宋_GB2312"/>
          <w:color w:val="000000"/>
          <w:sz w:val="32"/>
          <w:szCs w:val="32"/>
          <w:lang w:val="en-US" w:eastAsia="zh-CN"/>
        </w:rPr>
        <w:t>8</w:t>
      </w:r>
      <w:r>
        <w:rPr>
          <w:rFonts w:hint="eastAsia" w:eastAsia="仿宋_GB2312"/>
          <w:color w:val="000000"/>
          <w:sz w:val="32"/>
          <w:szCs w:val="32"/>
        </w:rPr>
        <w:t>日</w:t>
      </w:r>
    </w:p>
    <w:p w14:paraId="363CA229">
      <w:pPr>
        <w:pStyle w:val="19"/>
        <w:spacing w:line="600" w:lineRule="exact"/>
        <w:ind w:firstLine="0" w:firstLineChars="0"/>
        <w:rPr>
          <w:rFonts w:hint="eastAsia" w:eastAsia="仿宋_GB2312"/>
          <w:color w:val="000000"/>
          <w:sz w:val="32"/>
          <w:szCs w:val="32"/>
          <w:lang w:eastAsia="zh-CN"/>
        </w:rPr>
      </w:pPr>
      <w:r>
        <w:rPr>
          <w:rFonts w:hint="eastAsia" w:eastAsia="仿宋_GB2312"/>
          <w:color w:val="000000"/>
          <w:sz w:val="32"/>
          <w:szCs w:val="32"/>
          <w:lang w:val="en-US" w:eastAsia="zh-CN"/>
        </w:rPr>
        <w:t xml:space="preserve">    </w:t>
      </w:r>
      <w:r>
        <w:rPr>
          <w:rFonts w:hint="eastAsia" w:eastAsia="仿宋_GB2312"/>
          <w:color w:val="000000"/>
          <w:sz w:val="32"/>
          <w:szCs w:val="32"/>
          <w:lang w:eastAsia="zh-CN"/>
        </w:rPr>
        <w:t>（此件主动公开）</w:t>
      </w:r>
    </w:p>
    <w:p w14:paraId="225B89FC">
      <w:pPr>
        <w:pStyle w:val="2"/>
        <w:rPr>
          <w:rFonts w:hint="eastAsia" w:ascii="Times New Roman" w:hAnsi="Times New Roman" w:eastAsia="文星简小标宋"/>
          <w:szCs w:val="44"/>
        </w:rPr>
      </w:pPr>
    </w:p>
    <w:p w14:paraId="20F345F2">
      <w:pPr>
        <w:rPr>
          <w:rFonts w:hint="eastAsia"/>
        </w:rPr>
      </w:pPr>
    </w:p>
    <w:p w14:paraId="2C404868">
      <w:pPr>
        <w:rPr>
          <w:rFonts w:hint="eastAsia" w:ascii="Times New Roman" w:eastAsia="仿宋_GB2312"/>
          <w:sz w:val="32"/>
        </w:rPr>
      </w:pPr>
    </w:p>
    <w:p w14:paraId="1512493F">
      <w:pPr>
        <w:rPr>
          <w:rFonts w:hint="eastAsia" w:ascii="Times New Roman" w:eastAsia="仿宋_GB2312"/>
          <w:sz w:val="32"/>
        </w:rPr>
      </w:pPr>
    </w:p>
    <w:p w14:paraId="07ED817F">
      <w:pPr>
        <w:rPr>
          <w:rFonts w:hint="eastAsia" w:ascii="Times New Roman" w:eastAsia="仿宋_GB2312"/>
          <w:sz w:val="32"/>
        </w:rPr>
      </w:pPr>
    </w:p>
    <w:p w14:paraId="20B44D8E">
      <w:pPr>
        <w:rPr>
          <w:rFonts w:hint="eastAsia" w:ascii="Times New Roman" w:eastAsia="仿宋_GB2312"/>
          <w:sz w:val="32"/>
        </w:rPr>
      </w:pPr>
    </w:p>
    <w:p w14:paraId="6E8C9762">
      <w:pPr>
        <w:rPr>
          <w:rFonts w:hint="eastAsia" w:ascii="Times New Roman" w:eastAsia="仿宋_GB2312"/>
          <w:sz w:val="32"/>
        </w:rPr>
      </w:pPr>
    </w:p>
    <w:p w14:paraId="105C0901">
      <w:pPr>
        <w:rPr>
          <w:rFonts w:hint="eastAsia" w:ascii="Times New Roman" w:eastAsia="仿宋_GB2312"/>
          <w:sz w:val="32"/>
        </w:rPr>
      </w:pPr>
    </w:p>
    <w:p w14:paraId="3C7FCFEF">
      <w:pPr>
        <w:rPr>
          <w:rFonts w:hint="eastAsia" w:ascii="Times New Roman" w:eastAsia="仿宋_GB2312"/>
          <w:sz w:val="32"/>
        </w:rPr>
      </w:pPr>
    </w:p>
    <w:p w14:paraId="6AE3F0DF">
      <w:pPr>
        <w:rPr>
          <w:rFonts w:hint="eastAsia" w:ascii="Times New Roman" w:eastAsia="仿宋_GB2312"/>
          <w:sz w:val="32"/>
        </w:rPr>
      </w:pPr>
    </w:p>
    <w:p w14:paraId="57245ACE">
      <w:pPr>
        <w:rPr>
          <w:rFonts w:hint="eastAsia" w:ascii="Times New Roman" w:eastAsia="仿宋_GB2312"/>
          <w:sz w:val="32"/>
        </w:rPr>
      </w:pPr>
    </w:p>
    <w:p w14:paraId="56B14D70">
      <w:pPr>
        <w:rPr>
          <w:rFonts w:ascii="Times New Roman" w:eastAsia="仿宋_GB2312"/>
          <w:sz w:val="32"/>
        </w:rPr>
      </w:pPr>
    </w:p>
    <w:p w14:paraId="34ECD04F">
      <w:pPr>
        <w:spacing w:line="480" w:lineRule="exact"/>
        <w:ind w:left="210" w:leftChars="100" w:right="210" w:rightChars="100"/>
        <w:rPr>
          <w:rFonts w:hint="eastAsia"/>
        </w:rPr>
      </w:pPr>
      <w:bookmarkStart w:id="0" w:name="_GoBack"/>
      <w:bookmarkEnd w:id="0"/>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C5034">
    <w:pPr>
      <w:pStyle w:val="3"/>
      <w:framePr w:wrap="around" w:vAnchor="text" w:hAnchor="margin" w:xAlign="outside" w:y="1"/>
      <w:rPr>
        <w:rStyle w:val="10"/>
        <w:rFonts w:hint="eastAsia" w:ascii="宋体" w:hAnsi="宋体"/>
        <w:sz w:val="28"/>
        <w:szCs w:val="28"/>
      </w:rPr>
    </w:pPr>
    <w:r>
      <w:rPr>
        <w:rStyle w:val="10"/>
        <w:rFonts w:hint="eastAsia" w:ascii="宋体" w:hAnsi="宋体"/>
        <w:sz w:val="28"/>
        <w:szCs w:val="28"/>
      </w:rPr>
      <w:t>―</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w:t>
    </w:r>
  </w:p>
  <w:p w14:paraId="0BC0B39E">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1EA2">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208C3B43">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B7F61CB"/>
    <w:rsid w:val="249662BB"/>
    <w:rsid w:val="27CB5B21"/>
    <w:rsid w:val="3C7EF43A"/>
    <w:rsid w:val="5BDD959F"/>
    <w:rsid w:val="5D7E396E"/>
    <w:rsid w:val="6ED09D8B"/>
    <w:rsid w:val="7737C68D"/>
    <w:rsid w:val="7F7D27E7"/>
    <w:rsid w:val="7FFF18FB"/>
    <w:rsid w:val="8FDD6814"/>
    <w:rsid w:val="9BFFF44F"/>
    <w:rsid w:val="AEFF9C57"/>
    <w:rsid w:val="B6763222"/>
    <w:rsid w:val="B7EF31EA"/>
    <w:rsid w:val="B9ADEADA"/>
    <w:rsid w:val="B9D7C562"/>
    <w:rsid w:val="BFFF8900"/>
    <w:rsid w:val="CEBF4274"/>
    <w:rsid w:val="EFD36205"/>
    <w:rsid w:val="F74BC222"/>
    <w:rsid w:val="FE7DC496"/>
    <w:rsid w:val="FF7E774E"/>
    <w:rsid w:val="FFF2A3C3"/>
    <w:rsid w:val="FFFB4DDF"/>
    <w:rsid w:val="FFFF6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paragraph" w:styleId="19">
    <w:name w:val="List Paragraph"/>
    <w:basedOn w:val="1"/>
    <w:qFormat/>
    <w:uiPriority w:val="34"/>
    <w:pPr>
      <w:ind w:firstLine="420" w:firstLineChars="200"/>
    </w:pPr>
    <w:rPr>
      <w:rFonts w:ascii="Times New Roman" w:hAnsi="Times New Roman" w:eastAsia="宋体" w:cs="Times New Roman"/>
      <w:szCs w:val="20"/>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7</Pages>
  <Words>3111</Words>
  <Characters>3129</Characters>
  <Lines>1</Lines>
  <Paragraphs>1</Paragraphs>
  <TotalTime>19</TotalTime>
  <ScaleCrop>false</ScaleCrop>
  <LinksUpToDate>false</LinksUpToDate>
  <CharactersWithSpaces>3229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2020-09-18T22:56:00Z</dcterms:created>
  <dc:creator>admin</dc:creator>
  <cp:lastModifiedBy>佟萌萌</cp:lastModifiedBy>
  <cp:lastPrinted>2026-06-08T23:16:00Z</cp:lastPrinted>
  <dcterms:modified xsi:type="dcterms:W3CDTF">2026-06-10T07:49:50Z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5E6B3B1A38274838A712B33ABDBCF244_12</vt:lpwstr>
  </property>
</Properties>
</file>