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tabs>
          <w:tab w:val="center" w:pos="4153"/>
          <w:tab w:val="right" w:pos="8306"/>
        </w:tabs>
        <w:spacing w:line="360" w:lineRule="auto"/>
        <w:rPr>
          <w:rFonts w:hint="eastAsia" w:ascii="仿宋_GB2312" w:eastAsia="仿宋_GB2312"/>
          <w:color w:val="auto"/>
          <w:spacing w:val="16"/>
        </w:rPr>
      </w:pPr>
      <w:r>
        <w:rPr>
          <w:rFonts w:hint="eastAsia" w:ascii="仿宋_GB2312" w:eastAsia="仿宋_GB2312"/>
          <w:color w:val="auto"/>
          <w:spacing w:val="16"/>
          <w:sz w:val="28"/>
          <w:lang w:eastAsia="zh-CN"/>
        </w:rPr>
        <w:t>参考</w:t>
      </w:r>
      <w:r>
        <w:rPr>
          <w:rFonts w:hint="eastAsia" w:ascii="仿宋_GB2312" w:eastAsia="仿宋_GB2312"/>
          <w:color w:val="auto"/>
          <w:spacing w:val="16"/>
          <w:sz w:val="28"/>
        </w:rPr>
        <w:t>文本</w:t>
      </w:r>
      <w:r>
        <w:rPr>
          <w:rFonts w:ascii="仿宋_GB2312" w:eastAsia="仿宋_GB2312"/>
          <w:color w:val="auto"/>
          <w:spacing w:val="16"/>
        </w:rPr>
        <w:tab/>
      </w:r>
    </w:p>
    <w:p>
      <w:pPr>
        <w:pStyle w:val="10"/>
        <w:tabs>
          <w:tab w:val="center" w:pos="4153"/>
          <w:tab w:val="right" w:pos="8306"/>
        </w:tabs>
        <w:spacing w:line="360" w:lineRule="auto"/>
        <w:rPr>
          <w:rFonts w:ascii="仿宋_GB2312" w:eastAsia="仿宋_GB2312"/>
          <w:b/>
          <w:color w:val="auto"/>
          <w:spacing w:val="16"/>
          <w:u w:val="single"/>
        </w:rPr>
      </w:pPr>
      <w:r>
        <w:rPr>
          <w:rFonts w:ascii="仿宋_GB2312" w:eastAsia="仿宋_GB2312"/>
          <w:color w:val="auto"/>
          <w:spacing w:val="16"/>
        </w:rPr>
        <w:tab/>
      </w:r>
      <w:r>
        <w:rPr>
          <w:rFonts w:hint="eastAsia" w:ascii="仿宋_GB2312" w:eastAsia="仿宋_GB2312"/>
          <w:color w:val="auto"/>
          <w:spacing w:val="16"/>
        </w:rPr>
        <w:t xml:space="preserve">                                 </w:t>
      </w:r>
      <w:r>
        <w:rPr>
          <w:rFonts w:hint="eastAsia" w:ascii="仿宋_GB2312" w:eastAsia="仿宋_GB2312"/>
          <w:b/>
          <w:color w:val="auto"/>
          <w:spacing w:val="16"/>
        </w:rPr>
        <w:t>编号：</w:t>
      </w:r>
      <w:r>
        <w:rPr>
          <w:rFonts w:hint="eastAsia" w:ascii="仿宋_GB2312" w:eastAsia="仿宋_GB2312"/>
          <w:b/>
          <w:color w:val="auto"/>
          <w:spacing w:val="16"/>
          <w:u w:val="single"/>
          <w:lang w:val="en-US" w:eastAsia="zh-CN"/>
        </w:rPr>
        <w:t xml:space="preserve">          </w:t>
      </w:r>
      <w:r>
        <w:rPr>
          <w:rFonts w:ascii="仿宋_GB2312" w:eastAsia="仿宋_GB2312"/>
          <w:b/>
          <w:color w:val="auto"/>
          <w:spacing w:val="16"/>
          <w:u w:val="single"/>
        </w:rPr>
        <w:t xml:space="preserve"> </w:t>
      </w:r>
    </w:p>
    <w:p>
      <w:pPr>
        <w:pStyle w:val="10"/>
        <w:tabs>
          <w:tab w:val="center" w:pos="4153"/>
          <w:tab w:val="right" w:pos="8306"/>
        </w:tabs>
        <w:spacing w:line="360" w:lineRule="auto"/>
        <w:rPr>
          <w:rFonts w:ascii="仿宋_GB2312" w:eastAsia="仿宋_GB2312"/>
          <w:b/>
          <w:color w:val="auto"/>
          <w:spacing w:val="16"/>
          <w:u w:val="single"/>
        </w:rPr>
      </w:pPr>
    </w:p>
    <w:p>
      <w:pPr>
        <w:pStyle w:val="10"/>
        <w:spacing w:line="360" w:lineRule="auto"/>
        <w:jc w:val="center"/>
        <w:rPr>
          <w:rFonts w:hint="eastAsia" w:ascii="黑体" w:eastAsia="黑体"/>
          <w:b/>
          <w:color w:val="auto"/>
          <w:spacing w:val="16"/>
          <w:sz w:val="72"/>
          <w:lang w:eastAsia="zh-CN"/>
        </w:rPr>
      </w:pPr>
      <w:r>
        <w:rPr>
          <w:rFonts w:hint="eastAsia" w:ascii="黑体" w:eastAsia="黑体"/>
          <w:b/>
          <w:color w:val="auto"/>
          <w:spacing w:val="16"/>
          <w:sz w:val="72"/>
          <w:lang w:eastAsia="zh-CN"/>
        </w:rPr>
        <w:t>超龄劳动者用工协议</w:t>
      </w:r>
    </w:p>
    <w:p>
      <w:pPr>
        <w:pStyle w:val="10"/>
        <w:spacing w:line="360" w:lineRule="auto"/>
        <w:jc w:val="center"/>
        <w:rPr>
          <w:rFonts w:hint="eastAsia" w:ascii="仿宋_GB2312" w:eastAsia="仿宋_GB2312"/>
          <w:color w:val="auto"/>
          <w:spacing w:val="16"/>
          <w:sz w:val="28"/>
          <w:lang w:eastAsia="zh-CN"/>
        </w:rPr>
      </w:pPr>
      <w:r>
        <w:rPr>
          <w:rFonts w:hint="eastAsia" w:ascii="仿宋_GB2312" w:eastAsia="仿宋_GB2312"/>
          <w:color w:val="auto"/>
          <w:spacing w:val="16"/>
          <w:sz w:val="28"/>
          <w:lang w:val="en-US" w:eastAsia="zh-CN"/>
        </w:rPr>
        <w:t xml:space="preserve"> </w:t>
      </w:r>
    </w:p>
    <w:p>
      <w:pPr>
        <w:pStyle w:val="10"/>
        <w:spacing w:line="360" w:lineRule="auto"/>
        <w:jc w:val="both"/>
        <w:rPr>
          <w:rFonts w:hint="eastAsia" w:ascii="仿宋_GB2312" w:eastAsia="仿宋_GB2312"/>
          <w:color w:val="auto"/>
          <w:spacing w:val="16"/>
        </w:rPr>
      </w:pPr>
    </w:p>
    <w:p>
      <w:pPr>
        <w:pStyle w:val="10"/>
        <w:spacing w:line="360" w:lineRule="auto"/>
        <w:rPr>
          <w:rFonts w:ascii="仿宋_GB2312" w:eastAsia="仿宋_GB2312"/>
          <w:color w:val="auto"/>
          <w:spacing w:val="16"/>
        </w:rPr>
      </w:pPr>
    </w:p>
    <w:p>
      <w:pPr>
        <w:pStyle w:val="10"/>
        <w:spacing w:line="360" w:lineRule="auto"/>
        <w:rPr>
          <w:rFonts w:ascii="仿宋_GB2312" w:eastAsia="仿宋_GB2312"/>
          <w:color w:val="auto"/>
          <w:spacing w:val="16"/>
        </w:rPr>
      </w:pPr>
    </w:p>
    <w:p>
      <w:pPr>
        <w:spacing w:line="760" w:lineRule="exact"/>
        <w:rPr>
          <w:rFonts w:hint="eastAsia" w:ascii="仿宋_GB2312" w:hAnsi="仿宋_GB2312" w:eastAsia="仿宋_GB2312" w:cs="仿宋_GB2312"/>
          <w:b/>
          <w:bCs/>
          <w:sz w:val="36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      甲方（用人单位）：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</w:rPr>
        <w:t xml:space="preserve">                           </w:t>
      </w:r>
    </w:p>
    <w:p>
      <w:pPr>
        <w:spacing w:line="76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      乙方（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超龄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劳动者）：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</w:rPr>
        <w:t xml:space="preserve">   </w:t>
      </w:r>
    </w:p>
    <w:p>
      <w:pPr>
        <w:spacing w:line="76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      签   订  日  期：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日</w:t>
      </w:r>
    </w:p>
    <w:p>
      <w:pPr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云南</w:t>
      </w:r>
      <w:r>
        <w:rPr>
          <w:rFonts w:hint="eastAsia" w:ascii="仿宋_GB2312" w:hAnsi="宋体" w:eastAsia="仿宋_GB2312"/>
          <w:sz w:val="32"/>
          <w:szCs w:val="32"/>
        </w:rPr>
        <w:t>省人力资源和社会保障厅制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pacing w:val="16"/>
          <w:sz w:val="32"/>
          <w:szCs w:val="32"/>
        </w:rPr>
        <w:sectPr>
          <w:pgSz w:w="11906" w:h="16838"/>
          <w:pgMar w:top="2098" w:right="1474" w:bottom="1984" w:left="1587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pacing w:val="16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16"/>
          <w:sz w:val="32"/>
          <w:szCs w:val="32"/>
        </w:rPr>
        <w:t>使</w:t>
      </w:r>
      <w:r>
        <w:rPr>
          <w:rFonts w:hint="eastAsia" w:ascii="黑体" w:hAnsi="黑体" w:eastAsia="黑体" w:cs="黑体"/>
          <w:b w:val="0"/>
          <w:bCs/>
          <w:color w:val="auto"/>
          <w:spacing w:val="16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color w:val="auto"/>
          <w:spacing w:val="16"/>
          <w:sz w:val="32"/>
          <w:szCs w:val="32"/>
        </w:rPr>
        <w:t xml:space="preserve"> 用</w:t>
      </w:r>
      <w:r>
        <w:rPr>
          <w:rFonts w:hint="eastAsia" w:ascii="黑体" w:hAnsi="黑体" w:eastAsia="黑体" w:cs="黑体"/>
          <w:b w:val="0"/>
          <w:bCs/>
          <w:color w:val="auto"/>
          <w:spacing w:val="16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color w:val="auto"/>
          <w:spacing w:val="16"/>
          <w:sz w:val="32"/>
          <w:szCs w:val="32"/>
        </w:rPr>
        <w:t xml:space="preserve"> 说</w:t>
      </w:r>
      <w:r>
        <w:rPr>
          <w:rFonts w:hint="eastAsia" w:ascii="黑体" w:hAnsi="黑体" w:eastAsia="黑体" w:cs="黑体"/>
          <w:b w:val="0"/>
          <w:bCs/>
          <w:color w:val="auto"/>
          <w:spacing w:val="16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color w:val="auto"/>
          <w:spacing w:val="16"/>
          <w:sz w:val="32"/>
          <w:szCs w:val="32"/>
        </w:rPr>
        <w:t>明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pacing w:val="16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539"/>
        <w:textAlignment w:val="auto"/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eastAsia="zh-CN"/>
        </w:rPr>
        <w:t>协议文本供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zh-CN"/>
        </w:rPr>
        <w:t>云南省境内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</w:rPr>
        <w:t>用人单位与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eastAsia="zh-CN"/>
        </w:rPr>
        <w:t>超龄劳动者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</w:rPr>
        <w:t>签订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eastAsia="zh-CN"/>
        </w:rPr>
        <w:t>书面用工协议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eastAsia="zh-CN"/>
        </w:rPr>
        <w:t>参考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</w:rPr>
        <w:t>使用。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539"/>
        <w:textAlignment w:val="auto"/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</w:rPr>
        <w:t>用人单位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eastAsia="zh-CN"/>
        </w:rPr>
        <w:t>应当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eastAsia="zh-CN"/>
        </w:rPr>
        <w:t>超龄劳动者订立书面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zh-CN"/>
        </w:rPr>
        <w:t>用工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eastAsia="zh-CN"/>
        </w:rPr>
        <w:t>协议，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zh-CN"/>
        </w:rPr>
        <w:t>遵循合法、公平、平等自愿、协商一致、诚实信用原则，确定双方权利义务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</w:rPr>
        <w:t>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539"/>
        <w:textAlignment w:val="auto"/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eastAsia="zh-CN"/>
        </w:rPr>
        <w:t>协议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</w:rPr>
        <w:t>应使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eastAsia="zh-CN"/>
        </w:rPr>
        <w:t>用蓝、黑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</w:rPr>
        <w:t>钢笔或签字笔填写，字迹清楚，文字简练、准确，不得涂改。确需涂改的，双方应在涂改处签字或盖章确认。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539"/>
        <w:textAlignment w:val="auto"/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</w:rPr>
        <w:t>签订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eastAsia="zh-CN"/>
        </w:rPr>
        <w:t>书面用工协议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</w:rPr>
        <w:t>，用人单位应加盖公章，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</w:rPr>
        <w:t>主要负责人或委托代理人签字或盖章；劳动者应本人签字，不得由他人代签。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eastAsia="zh-CN"/>
        </w:rPr>
        <w:t>书面用工协议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</w:rPr>
        <w:t>由双方各执一份。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539"/>
        <w:textAlignment w:val="auto"/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eastAsia="zh-CN"/>
        </w:rPr>
        <w:t>采用电子形式签订的，应符合国家和本地有关规定。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协议双方当事人基本情况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甲方（用人单位）：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法定代表人（主要负责人）：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注册地：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经营地（通讯地址）：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099" w:firstLineChars="190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超龄劳动者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居民身份证号码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户籍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邮政编码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居住地址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通讯地址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）及</w:t>
      </w:r>
      <w:r>
        <w:rPr>
          <w:rFonts w:hint="eastAsia" w:ascii="仿宋_GB2312" w:hAnsi="仿宋_GB2312" w:eastAsia="仿宋_GB2312" w:cs="仿宋_GB2312"/>
          <w:sz w:val="32"/>
          <w:szCs w:val="32"/>
        </w:rPr>
        <w:t>邮政编码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根据《国务院关于渐进式延迟法定退休年龄的办法》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《超龄劳动者基本权益保障暂行规定》以及相关法律法规规定，甲乙双方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平等自愿、协商一致签订本协议，共同遵守本协议所列条款。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协议期限</w:t>
      </w:r>
    </w:p>
    <w:p>
      <w:pPr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双方约定按下列第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种方式确定协议期限：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（一）本协议期限</w:t>
      </w:r>
      <w:r>
        <w:rPr>
          <w:rFonts w:hint="eastAsia" w:ascii="仿宋_GB2312" w:hAnsi="仿宋_GB2312" w:eastAsia="仿宋_GB2312" w:cs="仿宋_GB2312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日起至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工作任务时止。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工作内容、工作地点和要求</w:t>
      </w:r>
    </w:p>
    <w:p>
      <w:pPr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乙方工作岗位是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，主要工作内容/岗位职责为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乙方的工作地点为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甲方应当根据乙方的知识、技能、经验、身体状况等安排合适的工作内容，合理确定劳动强度，不得安排乙方从事危害其身心健康的劳动或者危险作业。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乙方应当爱岗敬业、诚实守信，保守甲方商业秘密，遵守职业道德和甲方的劳动规章制度，认真履行岗位职责，按时保质完成工作任务。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工作时间和休息休假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乙方每日工作时间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小时，每周工作时间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小时。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乙方依法享有休息日、法定节假日休息休假权利。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双方约定乙方可以享受的其他休假有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乙方因患病或者非因工负伤等无法提供劳动的，应当按照用人单位规章制度等履行请假手续，有关待遇按照如下标准发放：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劳动报酬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双方约定采用以下第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种方式向乙方以货币形式支付劳动报酬，于每月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日前足额支付（遇节假日提前至最近工作日）：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月工资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计件工资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计件单价为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基本工资和绩效工资相结合的工资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计算</w:t>
      </w:r>
      <w:r>
        <w:rPr>
          <w:rFonts w:hint="eastAsia" w:ascii="仿宋_GB2312" w:hAnsi="仿宋_GB2312" w:eastAsia="仿宋_GB2312" w:cs="仿宋_GB2312"/>
          <w:sz w:val="32"/>
          <w:szCs w:val="32"/>
        </w:rPr>
        <w:t>办法，乙方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基本工资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元，绩效工资计发办法为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双方约定的其他方式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乙方按照本协议约定的工作内容、地点和要求等提供劳动的，甲方支付乙方的劳动报酬不得低于当地最低工资标准。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社会保险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甲方应当为乙方参加工伤保险并缴纳工伤保险费，乙方个人不缴纳工伤保险费。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超龄劳动者已享受基本养老保险待遇继续工作的，不改变其享受基本养老保险待遇。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超龄劳动者未享受基本养老保险待遇的，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经双方协商确定，处理方式是：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超龄劳动者已享受职工基本医疗保险退休人员待遇继续工作的，不改变其享受职工基本医疗保险待遇。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超龄劳动者未享受职工基本医疗保险退休人员待遇的，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经双方协商确定，处理方式是：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劳动保护、劳动条件与职业危害防护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甲方根据生产岗位的需要，按照国家有关劳动安全、卫生的规定对乙方进行劳动安全卫生教育和操作规程培训，为乙方提供必要的安全防护设施和劳动保护用品，努力改善劳动条件，减少职业危害。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甲方向乙方提供的劳动条件及职业危害防护措施主要包括：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乙方应当遵守甲方安全生产制度，执行安全生产、职业卫生的规程和标准；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甲方违章指挥、强令冒险作业的，乙方有权拒绝执行。</w:t>
      </w:r>
    </w:p>
    <w:p>
      <w:pPr>
        <w:spacing w:after="156" w:afterLines="50"/>
        <w:ind w:firstLine="573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乙方严重违反甲方安全生产制度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或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安全生产、职业卫生的规程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  <w:lang w:eastAsia="zh-CN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标准的，甲方有权解除本用工协议。</w:t>
      </w:r>
    </w:p>
    <w:p>
      <w:pPr>
        <w:spacing w:after="156" w:afterLines="50"/>
        <w:ind w:firstLine="573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用工协议的变更、解除与终止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经双方协商一致，可以变更本协议；变更本协议的，应当采用书面形式。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双方协商一致可以解除本协议。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双方约定，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一方提出提前解除本协议的，应当提前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日书面通知对方。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可以单方解除本协议的情形如下：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有下列情形之一的，本协议终止：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（一）本协议期满的；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（二）双方约定的工作内容完成的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劳动者死亡，或者被人民法院宣告死亡或宣告失踪的；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）用人单位被依法宣告破产的；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）用人单位被吊销营业执照、责令关闭、撤销或者用人单位决定提前解散的；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法律、行政法规定的其他情形。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本协议解除或者终止的，双方应当在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日内完成工作交接、报酬结算支付等事宜；本协议解除过程中和解除终止后，双方应遵循诚信原则，履行通知、协助、保密等义务。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违约责任及约定的其他事项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甲乙双方任何一方因故意或者过失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导致本协议不能继续履行的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或者履行本协议不符合约定要求的，应当承担违约责任。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双方约定的违约责任如下：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双方约定的其他事项：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争议处理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双方因履行本协议发生争议的，应当本着平等、自愿和互谅互让的原则，优先友好协商解决，协商不成的依法向调解组织申请调解。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因劳动报酬、休息休假、劳动安全卫生、工伤保障发生争议的，依照《中华人民共和国劳动争议调解仲裁法》处理。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因其他事项发生争议的，可以向有管辖权的人民法院提起诉讼。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其他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本协议未尽事宜或者与国家和我省有关规定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不一致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的，按有关规定执行。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本协议一式两份，双方各执一份，自双方签字（盖章）之日起生效，双方应严格遵照执行。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（以下无正文，为签署部分）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法定代表人（主要负责人）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或委托代理人（签字或盖章）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1600" w:firstLineChars="5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7A9101"/>
    <w:multiLevelType w:val="singleLevel"/>
    <w:tmpl w:val="997A910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BBFEB85D"/>
    <w:multiLevelType w:val="multilevel"/>
    <w:tmpl w:val="BBFEB85D"/>
    <w:lvl w:ilvl="0" w:tentative="0">
      <w:start w:val="1"/>
      <w:numFmt w:val="chineseCounting"/>
      <w:suff w:val="nothing"/>
      <w:lvlText w:val="第%1条　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第%2条　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2" w:tentative="0">
      <w:start w:val="1"/>
      <w:numFmt w:val="chineseCounting"/>
      <w:suff w:val="nothing"/>
      <w:lvlText w:val="第%3条　"/>
      <w:lvlJc w:val="left"/>
      <w:pPr>
        <w:ind w:left="0" w:firstLine="402"/>
      </w:pPr>
      <w:rPr>
        <w:rFonts w:hint="eastAsia"/>
      </w:rPr>
    </w:lvl>
    <w:lvl w:ilvl="3" w:tentative="0">
      <w:start w:val="1"/>
      <w:numFmt w:val="chineseCounting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．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（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decimalEnclosedCircleChinese"/>
      <w:suff w:val="nothing"/>
      <w:lvlText w:val="%7 "/>
      <w:lvlJc w:val="left"/>
      <w:pPr>
        <w:ind w:left="0" w:firstLine="402"/>
      </w:pPr>
      <w:rPr>
        <w:rFonts w:hint="eastAsia"/>
      </w:rPr>
    </w:lvl>
    <w:lvl w:ilvl="7" w:tentative="0">
      <w:start w:val="1"/>
      <w:numFmt w:val="decimal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Letter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2">
    <w:nsid w:val="FDFECF95"/>
    <w:multiLevelType w:val="singleLevel"/>
    <w:tmpl w:val="FDFECF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31CBAC4"/>
    <w:multiLevelType w:val="singleLevel"/>
    <w:tmpl w:val="031CBAC4"/>
    <w:lvl w:ilvl="0" w:tentative="0">
      <w:start w:val="3"/>
      <w:numFmt w:val="chineseCounting"/>
      <w:suff w:val="space"/>
      <w:lvlText w:val="第%1条"/>
      <w:lvlJc w:val="left"/>
      <w:rPr>
        <w:rFonts w:hint="eastAsia"/>
        <w:b/>
        <w:bCs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WNiYWU0ODcxYmYxMGU4MzQ1NjUzODlkMDM1MGQifQ=="/>
  </w:docVars>
  <w:rsids>
    <w:rsidRoot w:val="66BBD38E"/>
    <w:rsid w:val="03916177"/>
    <w:rsid w:val="039B2E5A"/>
    <w:rsid w:val="045A6AFB"/>
    <w:rsid w:val="08752E31"/>
    <w:rsid w:val="08BA6A96"/>
    <w:rsid w:val="0B050B8E"/>
    <w:rsid w:val="0DFB76A4"/>
    <w:rsid w:val="0F0512C8"/>
    <w:rsid w:val="0F055AA9"/>
    <w:rsid w:val="11973C9C"/>
    <w:rsid w:val="130F226C"/>
    <w:rsid w:val="137A111E"/>
    <w:rsid w:val="1BDCC0E9"/>
    <w:rsid w:val="1CA42734"/>
    <w:rsid w:val="1D5BE368"/>
    <w:rsid w:val="1E7D1945"/>
    <w:rsid w:val="227F1494"/>
    <w:rsid w:val="245A2A83"/>
    <w:rsid w:val="29AF3ABC"/>
    <w:rsid w:val="2B115A0C"/>
    <w:rsid w:val="2E6F16B0"/>
    <w:rsid w:val="2E7B59AA"/>
    <w:rsid w:val="2F1C3757"/>
    <w:rsid w:val="2F8F88B5"/>
    <w:rsid w:val="30D07C22"/>
    <w:rsid w:val="35D46B3A"/>
    <w:rsid w:val="35FF423E"/>
    <w:rsid w:val="3768AE89"/>
    <w:rsid w:val="39FC5DE1"/>
    <w:rsid w:val="3A0E703A"/>
    <w:rsid w:val="3A766C80"/>
    <w:rsid w:val="3DF716C8"/>
    <w:rsid w:val="3EFFBCD2"/>
    <w:rsid w:val="3FF7AB86"/>
    <w:rsid w:val="45CA2BCE"/>
    <w:rsid w:val="49BA28EB"/>
    <w:rsid w:val="4B5A7002"/>
    <w:rsid w:val="4BAD6890"/>
    <w:rsid w:val="4ECEC855"/>
    <w:rsid w:val="4FCBDFAE"/>
    <w:rsid w:val="50D46046"/>
    <w:rsid w:val="512C2D7D"/>
    <w:rsid w:val="529168A3"/>
    <w:rsid w:val="542C71BA"/>
    <w:rsid w:val="558F6E8F"/>
    <w:rsid w:val="563B3C13"/>
    <w:rsid w:val="564B66E3"/>
    <w:rsid w:val="57A06424"/>
    <w:rsid w:val="5915074C"/>
    <w:rsid w:val="5917170F"/>
    <w:rsid w:val="5A1E577F"/>
    <w:rsid w:val="5B054FE0"/>
    <w:rsid w:val="5B6311F9"/>
    <w:rsid w:val="5D5FA770"/>
    <w:rsid w:val="5F3FF25D"/>
    <w:rsid w:val="5FF7C0C1"/>
    <w:rsid w:val="5FFA78B3"/>
    <w:rsid w:val="610F631D"/>
    <w:rsid w:val="65EE754A"/>
    <w:rsid w:val="667569DC"/>
    <w:rsid w:val="66BBD38E"/>
    <w:rsid w:val="6AF77005"/>
    <w:rsid w:val="6BB7BAAE"/>
    <w:rsid w:val="6BC720B1"/>
    <w:rsid w:val="6BDA1C2E"/>
    <w:rsid w:val="6BDB11F7"/>
    <w:rsid w:val="6BDF205D"/>
    <w:rsid w:val="6BFDB068"/>
    <w:rsid w:val="6CB7619A"/>
    <w:rsid w:val="6DD9CC99"/>
    <w:rsid w:val="6E3A7D18"/>
    <w:rsid w:val="6ED76714"/>
    <w:rsid w:val="6F9A5A63"/>
    <w:rsid w:val="6FCD61E9"/>
    <w:rsid w:val="6FFC30B1"/>
    <w:rsid w:val="71757C05"/>
    <w:rsid w:val="71794779"/>
    <w:rsid w:val="7345B4A4"/>
    <w:rsid w:val="735C138D"/>
    <w:rsid w:val="738FBDAC"/>
    <w:rsid w:val="75654B81"/>
    <w:rsid w:val="76B763BD"/>
    <w:rsid w:val="76F92303"/>
    <w:rsid w:val="777B634B"/>
    <w:rsid w:val="7997AFB1"/>
    <w:rsid w:val="7AAA6308"/>
    <w:rsid w:val="7AFDA3AD"/>
    <w:rsid w:val="7B4ED53C"/>
    <w:rsid w:val="7B8D8295"/>
    <w:rsid w:val="7BFB773C"/>
    <w:rsid w:val="7BFF0924"/>
    <w:rsid w:val="7CBD0012"/>
    <w:rsid w:val="7CDC0E1F"/>
    <w:rsid w:val="7CFFD508"/>
    <w:rsid w:val="7D033C70"/>
    <w:rsid w:val="7DED3DD7"/>
    <w:rsid w:val="7E7318AF"/>
    <w:rsid w:val="7E9DD1B2"/>
    <w:rsid w:val="7EC5039A"/>
    <w:rsid w:val="7EC9AE69"/>
    <w:rsid w:val="7EDDE158"/>
    <w:rsid w:val="7EFD2DBD"/>
    <w:rsid w:val="7F017E47"/>
    <w:rsid w:val="7F6BE5C1"/>
    <w:rsid w:val="7FA5B409"/>
    <w:rsid w:val="7FB61BEC"/>
    <w:rsid w:val="7FCEA2CD"/>
    <w:rsid w:val="7FD571F7"/>
    <w:rsid w:val="7FDDBE3C"/>
    <w:rsid w:val="876CD701"/>
    <w:rsid w:val="8F7B7864"/>
    <w:rsid w:val="956F2095"/>
    <w:rsid w:val="9ED6B6CC"/>
    <w:rsid w:val="9F6E0B2B"/>
    <w:rsid w:val="9FAF837D"/>
    <w:rsid w:val="AB9D96CC"/>
    <w:rsid w:val="B3CD5599"/>
    <w:rsid w:val="B474FC6C"/>
    <w:rsid w:val="B6FBD94F"/>
    <w:rsid w:val="B7FFAEA1"/>
    <w:rsid w:val="B9777083"/>
    <w:rsid w:val="BAFAB904"/>
    <w:rsid w:val="BBFFCC83"/>
    <w:rsid w:val="BD6A806D"/>
    <w:rsid w:val="BD9F4069"/>
    <w:rsid w:val="BE300F82"/>
    <w:rsid w:val="CDCA7AAA"/>
    <w:rsid w:val="CEDDCD77"/>
    <w:rsid w:val="D5D87EE8"/>
    <w:rsid w:val="D6EC955F"/>
    <w:rsid w:val="DBBB25C8"/>
    <w:rsid w:val="DBFCC544"/>
    <w:rsid w:val="DBFDBD48"/>
    <w:rsid w:val="DDD202CB"/>
    <w:rsid w:val="DDEF5624"/>
    <w:rsid w:val="DDFFAC95"/>
    <w:rsid w:val="DDFFE157"/>
    <w:rsid w:val="DE7B3A3A"/>
    <w:rsid w:val="DE7C76F5"/>
    <w:rsid w:val="DFB56E5E"/>
    <w:rsid w:val="DFFFF2B9"/>
    <w:rsid w:val="E1FFE8EA"/>
    <w:rsid w:val="E3AF2905"/>
    <w:rsid w:val="E5D7D9D1"/>
    <w:rsid w:val="E7FE28E0"/>
    <w:rsid w:val="EB57B8E9"/>
    <w:rsid w:val="EBFD073F"/>
    <w:rsid w:val="EBFFBB77"/>
    <w:rsid w:val="EBFFCBA5"/>
    <w:rsid w:val="EDBEE520"/>
    <w:rsid w:val="EDF7C8FB"/>
    <w:rsid w:val="EF1565E4"/>
    <w:rsid w:val="EF1E92C0"/>
    <w:rsid w:val="EF53E440"/>
    <w:rsid w:val="EFE638BB"/>
    <w:rsid w:val="F177A780"/>
    <w:rsid w:val="F1FF20CD"/>
    <w:rsid w:val="F46FA416"/>
    <w:rsid w:val="F66B8EBC"/>
    <w:rsid w:val="F6FFA29E"/>
    <w:rsid w:val="F7EEDFFC"/>
    <w:rsid w:val="F7F6B181"/>
    <w:rsid w:val="F7F7F276"/>
    <w:rsid w:val="F9BFDDEB"/>
    <w:rsid w:val="F9DF4FD9"/>
    <w:rsid w:val="FBD78CC3"/>
    <w:rsid w:val="FBFD17E2"/>
    <w:rsid w:val="FCB7A05F"/>
    <w:rsid w:val="FCE94DAA"/>
    <w:rsid w:val="FCFD3575"/>
    <w:rsid w:val="FD2F6030"/>
    <w:rsid w:val="FDFEBD1E"/>
    <w:rsid w:val="FEB44A2A"/>
    <w:rsid w:val="FEFD1357"/>
    <w:rsid w:val="FF3CFB90"/>
    <w:rsid w:val="FFAD123A"/>
    <w:rsid w:val="FFBDDFF7"/>
    <w:rsid w:val="FFCE5ED5"/>
    <w:rsid w:val="FFFFF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qFormat/>
    <w:uiPriority w:val="0"/>
    <w:pPr>
      <w:spacing w:after="120" w:afterAutospacing="0" w:line="30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paragraph" w:customStyle="1" w:styleId="10">
    <w:name w:val="普通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4189</Words>
  <Characters>4197</Characters>
  <Lines>0</Lines>
  <Paragraphs>0</Paragraphs>
  <TotalTime>1</TotalTime>
  <ScaleCrop>false</ScaleCrop>
  <LinksUpToDate>false</LinksUpToDate>
  <CharactersWithSpaces>5820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2026-06-12T05:11:00Z</dcterms:created>
  <dc:creator>Xiao_</dc:creator>
  <cp:lastModifiedBy>kylin</cp:lastModifiedBy>
  <cp:lastPrinted>2026-07-05T15:02:00Z</cp:lastPrinted>
  <dcterms:modified xsi:type="dcterms:W3CDTF">2026-07-08T12:47:30Z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24E56FE73733173342C7416A7EAF200A_43</vt:lpwstr>
  </property>
  <property fmtid="{D5CDD505-2E9C-101B-9397-08002B2CF9AE}" pid="4" name="KSOTemplateDocerSaveRecord">
    <vt:lpwstr>eyJoZGlkIjoiMjNlMTZiZGM5ZjU1MWFlNzQzZGIxNDFkMmVjZDAwZDgiLCJ1c2VySWQiOiI0OTQ2MjIwMTkifQ==</vt:lpwstr>
  </property>
</Properties>
</file>