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7D8C1">
      <w:pPr>
        <w:rPr>
          <w:rFonts w:ascii="FreeSerif" w:hAnsi="FreeSerif" w:eastAsia="仿宋" w:cs="FreeSerif"/>
          <w:sz w:val="15"/>
          <w:szCs w:val="15"/>
          <w:lang w:val="en-US"/>
        </w:rPr>
      </w:pPr>
      <w:bookmarkStart w:id="2" w:name="_GoBack"/>
      <w:bookmarkEnd w:id="2"/>
    </w:p>
    <w:p w14:paraId="7C4D1DA6">
      <w:pPr>
        <w:jc w:val="right"/>
        <w:rPr>
          <w:rFonts w:ascii="FreeSerif" w:hAnsi="FreeSerif" w:eastAsia="仿宋" w:cs="FreeSerif"/>
          <w:sz w:val="32"/>
          <w:szCs w:val="32"/>
          <w:lang w:val="en-US" w:eastAsia="zh-CN"/>
        </w:rPr>
      </w:pPr>
      <w:bookmarkStart w:id="0" w:name="doc_mark"/>
    </w:p>
    <w:p w14:paraId="365F7704">
      <w:pPr>
        <w:jc w:val="right"/>
        <w:rPr>
          <w:rFonts w:ascii="FreeSerif" w:hAnsi="FreeSerif" w:eastAsia="仿宋" w:cs="FreeSerif"/>
          <w:sz w:val="32"/>
          <w:szCs w:val="32"/>
          <w:lang w:val="en-US" w:eastAsia="zh-CN"/>
        </w:rPr>
      </w:pPr>
    </w:p>
    <w:p w14:paraId="2D76CB6A">
      <w:pPr>
        <w:jc w:val="right"/>
        <w:rPr>
          <w:rFonts w:ascii="FreeSerif" w:hAnsi="FreeSerif" w:eastAsia="仿宋" w:cs="FreeSerif"/>
          <w:sz w:val="32"/>
          <w:szCs w:val="32"/>
          <w:lang w:val="en-US" w:eastAsia="zh-CN"/>
        </w:rPr>
      </w:pPr>
    </w:p>
    <w:p w14:paraId="1156BAFE">
      <w:pPr>
        <w:jc w:val="both"/>
        <w:rPr>
          <w:rFonts w:ascii="FreeSerif" w:hAnsi="FreeSerif" w:eastAsia="仿宋" w:cs="FreeSerif"/>
          <w:sz w:val="32"/>
          <w:szCs w:val="32"/>
          <w:lang w:val="en-US" w:eastAsia="zh-CN"/>
        </w:rPr>
      </w:pPr>
    </w:p>
    <w:p w14:paraId="317CD2CD">
      <w:pPr>
        <w:jc w:val="right"/>
        <w:rPr>
          <w:rFonts w:hint="eastAsia" w:ascii="FreeSerif" w:hAnsi="FreeSerif" w:eastAsia="仿宋" w:cs="FreeSerif"/>
          <w:sz w:val="32"/>
          <w:szCs w:val="32"/>
          <w:lang w:val="en-US"/>
        </w:rPr>
      </w:pPr>
      <w:r>
        <w:rPr>
          <w:rFonts w:ascii="FreeSerif" w:hAnsi="FreeSerif" w:eastAsia="仿宋" w:cs="FreeSerif"/>
          <w:sz w:val="32"/>
          <w:szCs w:val="32"/>
          <w:lang w:val="en-US" w:eastAsia="zh-CN"/>
        </w:rPr>
        <w:t>内人社办函〔2026〕13号</w:t>
      </w:r>
      <w:bookmarkEnd w:id="0"/>
    </w:p>
    <w:p w14:paraId="1567659A">
      <w:pPr>
        <w:spacing w:line="660" w:lineRule="exact"/>
        <w:jc w:val="center"/>
        <w:rPr>
          <w:rFonts w:ascii="FreeSerif" w:hAnsi="FreeSerif" w:eastAsia="方正小标宋简体" w:cs="FreeSerif"/>
          <w:sz w:val="44"/>
          <w:szCs w:val="44"/>
        </w:rPr>
      </w:pPr>
      <w:bookmarkStart w:id="1" w:name="Content"/>
      <w:bookmarkEnd w:id="1"/>
    </w:p>
    <w:p w14:paraId="75252B5A">
      <w:pPr>
        <w:spacing w:line="600" w:lineRule="exact"/>
        <w:jc w:val="center"/>
        <w:rPr>
          <w:rFonts w:ascii="FreeSerif" w:hAnsi="FreeSerif" w:eastAsia="方正小标宋简体" w:cs="FreeSerif"/>
          <w:sz w:val="44"/>
          <w:szCs w:val="44"/>
        </w:rPr>
      </w:pPr>
      <w:r>
        <w:rPr>
          <w:rFonts w:ascii="FreeSerif" w:hAnsi="FreeSerif" w:eastAsia="方正小标宋简体" w:cs="FreeSerif"/>
          <w:sz w:val="44"/>
          <w:szCs w:val="44"/>
        </w:rPr>
        <w:t>关于印发《内蒙古自治区新就业形态人员</w:t>
      </w:r>
    </w:p>
    <w:p w14:paraId="187F7AA7">
      <w:pPr>
        <w:spacing w:line="600" w:lineRule="exact"/>
        <w:jc w:val="center"/>
        <w:rPr>
          <w:rFonts w:ascii="FreeSerif" w:hAnsi="FreeSerif" w:eastAsia="方正小标宋简体" w:cs="FreeSerif"/>
          <w:sz w:val="44"/>
          <w:szCs w:val="44"/>
        </w:rPr>
      </w:pPr>
      <w:r>
        <w:rPr>
          <w:rFonts w:ascii="FreeSerif" w:hAnsi="FreeSerif" w:eastAsia="方正小标宋简体" w:cs="FreeSerif"/>
          <w:sz w:val="44"/>
          <w:szCs w:val="44"/>
        </w:rPr>
        <w:t>职业伤害保障业务经办和征收管理</w:t>
      </w:r>
    </w:p>
    <w:p w14:paraId="4D948D5F">
      <w:pPr>
        <w:spacing w:line="600" w:lineRule="exact"/>
        <w:jc w:val="center"/>
        <w:rPr>
          <w:rFonts w:ascii="FreeSerif" w:hAnsi="FreeSerif" w:eastAsia="方正小标宋简体" w:cs="FreeSerif"/>
          <w:sz w:val="44"/>
          <w:szCs w:val="44"/>
        </w:rPr>
      </w:pPr>
      <w:r>
        <w:rPr>
          <w:rFonts w:ascii="FreeSerif" w:hAnsi="FreeSerif" w:eastAsia="方正小标宋简体" w:cs="FreeSerif"/>
          <w:sz w:val="44"/>
          <w:szCs w:val="44"/>
        </w:rPr>
        <w:t>规程》的通知</w:t>
      </w:r>
    </w:p>
    <w:p w14:paraId="7E5FEB21">
      <w:pPr>
        <w:spacing w:line="600" w:lineRule="exact"/>
        <w:rPr>
          <w:rFonts w:ascii="FreeSerif" w:hAnsi="FreeSerif" w:eastAsia="方正仿宋_GB2312" w:cs="FreeSerif"/>
          <w:sz w:val="32"/>
          <w:szCs w:val="32"/>
        </w:rPr>
      </w:pPr>
    </w:p>
    <w:p w14:paraId="315CF9EB">
      <w:pPr>
        <w:spacing w:line="600" w:lineRule="exact"/>
        <w:rPr>
          <w:rFonts w:ascii="FreeSerif" w:hAnsi="FreeSerif" w:eastAsia="仿宋" w:cs="FreeSerif"/>
          <w:sz w:val="32"/>
          <w:szCs w:val="32"/>
        </w:rPr>
      </w:pPr>
      <w:r>
        <w:rPr>
          <w:rFonts w:ascii="FreeSerif" w:hAnsi="FreeSerif" w:eastAsia="方正仿宋_GB2312" w:cs="FreeSerif"/>
          <w:sz w:val="32"/>
          <w:szCs w:val="32"/>
        </w:rPr>
        <w:t>各</w:t>
      </w:r>
      <w:r>
        <w:rPr>
          <w:rFonts w:ascii="FreeSerif" w:hAnsi="FreeSerif" w:eastAsia="仿宋" w:cs="FreeSerif"/>
          <w:sz w:val="32"/>
          <w:szCs w:val="32"/>
        </w:rPr>
        <w:t>盟市人力资源和社会保障局，满洲里市、二连浩特市人力资源和社会保障局，国家税务总局各盟市、计划单列市税务局：</w:t>
      </w:r>
    </w:p>
    <w:p w14:paraId="72A1F6BC">
      <w:pPr>
        <w:spacing w:line="600" w:lineRule="exact"/>
        <w:ind w:firstLine="640"/>
        <w:rPr>
          <w:rFonts w:ascii="FreeSerif" w:hAnsi="FreeSerif" w:eastAsia="仿宋" w:cs="FreeSerif"/>
          <w:sz w:val="32"/>
          <w:szCs w:val="32"/>
        </w:rPr>
      </w:pPr>
      <w:r>
        <w:rPr>
          <w:rFonts w:ascii="FreeSerif" w:hAnsi="FreeSerif" w:eastAsia="仿宋" w:cs="FreeSerif"/>
          <w:sz w:val="32"/>
          <w:szCs w:val="32"/>
        </w:rPr>
        <w:t>为贯彻落实人力资源社会保障部等</w:t>
      </w:r>
      <w:r>
        <w:rPr>
          <w:rFonts w:hint="eastAsia" w:ascii="FreeSerif" w:hAnsi="FreeSerif" w:eastAsia="仿宋" w:cs="FreeSerif"/>
          <w:sz w:val="32"/>
          <w:szCs w:val="32"/>
          <w:lang w:val="en-US" w:eastAsia="zh-CN"/>
        </w:rPr>
        <w:t>9</w:t>
      </w:r>
      <w:r>
        <w:rPr>
          <w:rFonts w:ascii="FreeSerif" w:hAnsi="FreeSerif" w:eastAsia="仿宋" w:cs="FreeSerif"/>
          <w:sz w:val="32"/>
          <w:szCs w:val="32"/>
        </w:rPr>
        <w:t>部门</w:t>
      </w:r>
      <w:r>
        <w:rPr>
          <w:rFonts w:hint="eastAsia" w:ascii="FreeSerif" w:hAnsi="FreeSerif" w:eastAsia="仿宋" w:cs="FreeSerif"/>
          <w:sz w:val="32"/>
          <w:szCs w:val="32"/>
          <w:lang w:eastAsia="zh-CN"/>
        </w:rPr>
        <w:t>印发</w:t>
      </w:r>
      <w:r>
        <w:rPr>
          <w:rFonts w:ascii="FreeSerif" w:hAnsi="FreeSerif" w:eastAsia="仿宋" w:cs="FreeSerif"/>
          <w:sz w:val="32"/>
          <w:szCs w:val="32"/>
        </w:rPr>
        <w:t>的</w:t>
      </w:r>
      <w:r>
        <w:rPr>
          <w:rFonts w:hint="eastAsia" w:ascii="FreeSerif" w:hAnsi="FreeSerif" w:eastAsia="仿宋" w:cs="FreeSerif"/>
          <w:sz w:val="32"/>
          <w:szCs w:val="32"/>
          <w:lang w:eastAsia="zh-CN"/>
        </w:rPr>
        <w:t>《</w:t>
      </w:r>
      <w:r>
        <w:rPr>
          <w:rFonts w:ascii="FreeSerif" w:hAnsi="FreeSerif" w:eastAsia="仿宋" w:cs="FreeSerif"/>
          <w:sz w:val="32"/>
          <w:szCs w:val="32"/>
        </w:rPr>
        <w:t>关于扩大新就业形态人员职业伤害保障试点的通知》（人社部发〔2025〕24号）精神，切实做好自治区新就业形态人员职业伤害保障工作，根据人力资源社会保障部办公厅</w:t>
      </w:r>
      <w:r>
        <w:rPr>
          <w:rFonts w:hint="eastAsia" w:ascii="FreeSerif" w:hAnsi="FreeSerif" w:eastAsia="仿宋" w:cs="FreeSerif"/>
          <w:sz w:val="32"/>
          <w:szCs w:val="32"/>
          <w:lang w:eastAsia="zh-CN"/>
        </w:rPr>
        <w:t>、</w:t>
      </w:r>
      <w:r>
        <w:rPr>
          <w:rFonts w:ascii="FreeSerif" w:hAnsi="FreeSerif" w:eastAsia="仿宋" w:cs="FreeSerif"/>
          <w:sz w:val="32"/>
          <w:szCs w:val="32"/>
        </w:rPr>
        <w:t>国家税务总局办公厅</w:t>
      </w:r>
      <w:r>
        <w:rPr>
          <w:rFonts w:hint="eastAsia" w:ascii="FreeSerif" w:hAnsi="FreeSerif" w:eastAsia="仿宋" w:cs="FreeSerif"/>
          <w:sz w:val="32"/>
          <w:szCs w:val="32"/>
          <w:lang w:eastAsia="zh-CN"/>
        </w:rPr>
        <w:t>《</w:t>
      </w:r>
      <w:r>
        <w:rPr>
          <w:rFonts w:ascii="FreeSerif" w:hAnsi="FreeSerif" w:eastAsia="仿宋" w:cs="FreeSerif"/>
          <w:sz w:val="32"/>
          <w:szCs w:val="32"/>
        </w:rPr>
        <w:t>关于修订印发</w:t>
      </w:r>
      <w:r>
        <w:rPr>
          <w:rFonts w:ascii="FreeSerif" w:hAnsi="FreeSerif" w:eastAsia="仿宋" w:cs="FreeSerif"/>
          <w:spacing w:val="22"/>
          <w:sz w:val="32"/>
          <w:szCs w:val="32"/>
        </w:rPr>
        <w:t>〈</w:t>
      </w:r>
      <w:r>
        <w:rPr>
          <w:rFonts w:ascii="FreeSerif" w:hAnsi="FreeSerif" w:eastAsia="仿宋" w:cs="FreeSerif"/>
          <w:sz w:val="32"/>
          <w:szCs w:val="32"/>
        </w:rPr>
        <w:t>新就业形态就业人员职业伤害保障业务经办和征收管理规程（试行）</w:t>
      </w:r>
      <w:r>
        <w:rPr>
          <w:rFonts w:ascii="FreeSerif" w:hAnsi="FreeSerif" w:eastAsia="仿宋" w:cs="FreeSerif"/>
          <w:spacing w:val="22"/>
          <w:sz w:val="32"/>
          <w:szCs w:val="32"/>
        </w:rPr>
        <w:t>〉</w:t>
      </w:r>
      <w:r>
        <w:rPr>
          <w:rFonts w:ascii="FreeSerif" w:hAnsi="FreeSerif" w:eastAsia="仿宋" w:cs="FreeSerif"/>
          <w:sz w:val="32"/>
          <w:szCs w:val="32"/>
        </w:rPr>
        <w:t>的通知》（人社厅函〔2025〕79号）等有关规定，我们制定了《内蒙古自治区新就业形态人员职业伤害保障业务经办和征收管理规程》，现印发给你们，请遵照执行。</w:t>
      </w:r>
    </w:p>
    <w:p w14:paraId="2A91366D">
      <w:pPr>
        <w:spacing w:line="600" w:lineRule="exact"/>
        <w:ind w:firstLine="640"/>
        <w:rPr>
          <w:rFonts w:ascii="FreeSerif" w:hAnsi="FreeSerif" w:eastAsia="仿宋" w:cs="FreeSerif"/>
          <w:sz w:val="32"/>
          <w:szCs w:val="32"/>
        </w:rPr>
      </w:pPr>
    </w:p>
    <w:p w14:paraId="2430B4E2">
      <w:pPr>
        <w:spacing w:line="600" w:lineRule="exact"/>
        <w:ind w:firstLine="640"/>
        <w:rPr>
          <w:rFonts w:ascii="FreeSerif" w:hAnsi="FreeSerif" w:eastAsia="仿宋" w:cs="FreeSerif"/>
          <w:sz w:val="32"/>
          <w:szCs w:val="32"/>
        </w:rPr>
      </w:pPr>
    </w:p>
    <w:p w14:paraId="39AC30E3">
      <w:pPr>
        <w:spacing w:line="600" w:lineRule="exact"/>
        <w:rPr>
          <w:rFonts w:ascii="FreeSerif" w:hAnsi="FreeSerif" w:eastAsia="仿宋" w:cs="FreeSerif"/>
          <w:sz w:val="32"/>
          <w:szCs w:val="32"/>
        </w:rPr>
      </w:pPr>
      <w:r>
        <w:rPr>
          <w:rFonts w:ascii="FreeSerif" w:hAnsi="FreeSerif" w:eastAsia="仿宋" w:cs="FreeSerif"/>
          <w:sz w:val="32"/>
          <w:szCs w:val="32"/>
        </w:rPr>
        <w:t>内蒙古自治区人力资源               国家税务总局内蒙古</w:t>
      </w:r>
    </w:p>
    <w:p w14:paraId="1E5802E7">
      <w:pPr>
        <w:spacing w:line="600" w:lineRule="exact"/>
        <w:ind w:firstLine="640" w:firstLineChars="200"/>
        <w:rPr>
          <w:rFonts w:ascii="FreeSerif" w:hAnsi="FreeSerif" w:eastAsia="仿宋" w:cs="FreeSerif"/>
          <w:sz w:val="32"/>
          <w:szCs w:val="32"/>
        </w:rPr>
      </w:pPr>
      <w:r>
        <w:rPr>
          <w:rFonts w:ascii="FreeSerif" w:hAnsi="FreeSerif" w:eastAsia="仿宋" w:cs="FreeSerif"/>
          <w:sz w:val="32"/>
          <w:szCs w:val="32"/>
        </w:rPr>
        <w:t>和社会保障厅                      自治区税务局</w:t>
      </w:r>
    </w:p>
    <w:p w14:paraId="707BFCAE">
      <w:pPr>
        <w:spacing w:line="600" w:lineRule="exact"/>
        <w:rPr>
          <w:rFonts w:ascii="FreeSerif" w:hAnsi="FreeSerif" w:eastAsia="仿宋" w:cs="FreeSerif"/>
          <w:sz w:val="32"/>
          <w:szCs w:val="32"/>
        </w:rPr>
      </w:pPr>
      <w:r>
        <w:rPr>
          <w:rFonts w:ascii="FreeSerif" w:hAnsi="FreeSerif" w:eastAsia="仿宋" w:cs="FreeSerif"/>
          <w:sz w:val="32"/>
          <w:szCs w:val="32"/>
        </w:rPr>
        <w:t xml:space="preserve">                                      2026年1月</w:t>
      </w:r>
      <w:r>
        <w:rPr>
          <w:rFonts w:hint="eastAsia" w:ascii="FreeSerif" w:hAnsi="FreeSerif" w:eastAsia="仿宋" w:cs="FreeSerif"/>
          <w:sz w:val="32"/>
          <w:szCs w:val="32"/>
          <w:lang w:val="en-US" w:eastAsia="zh-CN"/>
        </w:rPr>
        <w:t>22</w:t>
      </w:r>
      <w:r>
        <w:rPr>
          <w:rFonts w:ascii="FreeSerif" w:hAnsi="FreeSerif" w:eastAsia="仿宋" w:cs="FreeSerif"/>
          <w:sz w:val="32"/>
          <w:szCs w:val="32"/>
        </w:rPr>
        <w:t>日</w:t>
      </w:r>
    </w:p>
    <w:p w14:paraId="07E7271A">
      <w:pPr>
        <w:spacing w:line="600" w:lineRule="exact"/>
        <w:ind w:firstLine="640"/>
        <w:rPr>
          <w:rFonts w:ascii="FreeSerif" w:hAnsi="FreeSerif" w:eastAsia="仿宋" w:cs="FreeSerif"/>
          <w:sz w:val="32"/>
          <w:szCs w:val="32"/>
        </w:rPr>
      </w:pPr>
      <w:r>
        <w:rPr>
          <w:rFonts w:ascii="FreeSerif" w:hAnsi="FreeSerif" w:eastAsia="仿宋" w:cs="FreeSerif"/>
          <w:sz w:val="32"/>
          <w:szCs w:val="32"/>
        </w:rPr>
        <w:t>（此件主动公开）</w:t>
      </w:r>
    </w:p>
    <w:p w14:paraId="0B68DDD9">
      <w:pPr>
        <w:spacing w:line="600" w:lineRule="exact"/>
        <w:ind w:firstLine="640"/>
        <w:rPr>
          <w:rFonts w:ascii="FreeSerif" w:hAnsi="FreeSerif" w:eastAsia="仿宋" w:cs="FreeSerif"/>
          <w:sz w:val="32"/>
          <w:szCs w:val="32"/>
        </w:rPr>
      </w:pPr>
      <w:r>
        <w:rPr>
          <w:rFonts w:ascii="FreeSerif" w:hAnsi="FreeSerif" w:eastAsia="仿宋" w:cs="FreeSerif"/>
          <w:sz w:val="32"/>
          <w:szCs w:val="32"/>
        </w:rPr>
        <w:t>（联系单位：内蒙古自治区社会保险事业服务中心）</w:t>
      </w:r>
    </w:p>
    <w:p w14:paraId="15CB5645">
      <w:pPr>
        <w:spacing w:line="600" w:lineRule="exact"/>
        <w:jc w:val="center"/>
        <w:rPr>
          <w:rFonts w:ascii="FreeSerif" w:hAnsi="FreeSerif" w:eastAsia="方正小标宋简体" w:cs="FreeSerif"/>
          <w:sz w:val="44"/>
          <w:szCs w:val="44"/>
        </w:rPr>
      </w:pPr>
    </w:p>
    <w:p w14:paraId="701C2849">
      <w:pPr>
        <w:spacing w:line="600" w:lineRule="exact"/>
        <w:jc w:val="center"/>
        <w:rPr>
          <w:rFonts w:ascii="FreeSerif" w:hAnsi="FreeSerif" w:eastAsia="方正小标宋简体" w:cs="FreeSerif"/>
          <w:sz w:val="44"/>
          <w:szCs w:val="44"/>
        </w:rPr>
      </w:pPr>
    </w:p>
    <w:p w14:paraId="2E7B701F">
      <w:pPr>
        <w:spacing w:line="600" w:lineRule="exact"/>
        <w:jc w:val="center"/>
        <w:rPr>
          <w:rFonts w:ascii="FreeSerif" w:hAnsi="FreeSerif" w:eastAsia="方正小标宋简体" w:cs="FreeSerif"/>
          <w:sz w:val="44"/>
          <w:szCs w:val="44"/>
        </w:rPr>
      </w:pPr>
    </w:p>
    <w:p w14:paraId="38A5BD38">
      <w:pPr>
        <w:spacing w:line="600" w:lineRule="exact"/>
        <w:jc w:val="center"/>
        <w:rPr>
          <w:rFonts w:ascii="FreeSerif" w:hAnsi="FreeSerif" w:eastAsia="方正小标宋简体" w:cs="FreeSerif"/>
          <w:sz w:val="44"/>
          <w:szCs w:val="44"/>
        </w:rPr>
      </w:pPr>
    </w:p>
    <w:p w14:paraId="7D754FD8">
      <w:pPr>
        <w:spacing w:line="600" w:lineRule="exact"/>
        <w:jc w:val="center"/>
        <w:rPr>
          <w:rFonts w:ascii="FreeSerif" w:hAnsi="FreeSerif" w:eastAsia="方正小标宋简体" w:cs="FreeSerif"/>
          <w:sz w:val="44"/>
          <w:szCs w:val="44"/>
        </w:rPr>
      </w:pPr>
    </w:p>
    <w:p w14:paraId="0E8C30C7">
      <w:pPr>
        <w:spacing w:line="600" w:lineRule="exact"/>
        <w:jc w:val="center"/>
        <w:rPr>
          <w:rFonts w:ascii="FreeSerif" w:hAnsi="FreeSerif" w:eastAsia="方正小标宋简体" w:cs="FreeSerif"/>
          <w:sz w:val="44"/>
          <w:szCs w:val="44"/>
        </w:rPr>
      </w:pPr>
    </w:p>
    <w:p w14:paraId="6667B745">
      <w:pPr>
        <w:spacing w:line="600" w:lineRule="exact"/>
        <w:jc w:val="center"/>
        <w:rPr>
          <w:rFonts w:ascii="FreeSerif" w:hAnsi="FreeSerif" w:eastAsia="方正小标宋简体" w:cs="FreeSerif"/>
          <w:sz w:val="44"/>
          <w:szCs w:val="44"/>
        </w:rPr>
      </w:pPr>
    </w:p>
    <w:p w14:paraId="2C7D4C23">
      <w:pPr>
        <w:spacing w:line="600" w:lineRule="exact"/>
        <w:jc w:val="center"/>
        <w:rPr>
          <w:rFonts w:ascii="FreeSerif" w:hAnsi="FreeSerif" w:eastAsia="方正小标宋简体" w:cs="FreeSerif"/>
          <w:sz w:val="44"/>
          <w:szCs w:val="44"/>
        </w:rPr>
      </w:pPr>
    </w:p>
    <w:p w14:paraId="59D266C1">
      <w:pPr>
        <w:spacing w:line="600" w:lineRule="exact"/>
        <w:jc w:val="center"/>
        <w:rPr>
          <w:rFonts w:ascii="FreeSerif" w:hAnsi="FreeSerif" w:eastAsia="方正小标宋简体" w:cs="FreeSerif"/>
          <w:sz w:val="44"/>
          <w:szCs w:val="44"/>
        </w:rPr>
      </w:pPr>
    </w:p>
    <w:p w14:paraId="2B60B92F">
      <w:pPr>
        <w:spacing w:line="600" w:lineRule="exact"/>
        <w:jc w:val="center"/>
        <w:rPr>
          <w:rFonts w:ascii="FreeSerif" w:hAnsi="FreeSerif" w:eastAsia="方正小标宋简体" w:cs="FreeSerif"/>
          <w:sz w:val="44"/>
          <w:szCs w:val="44"/>
        </w:rPr>
      </w:pPr>
    </w:p>
    <w:p w14:paraId="7DCED458">
      <w:pPr>
        <w:spacing w:line="600" w:lineRule="exact"/>
        <w:jc w:val="center"/>
        <w:rPr>
          <w:rFonts w:ascii="FreeSerif" w:hAnsi="FreeSerif" w:eastAsia="方正小标宋简体" w:cs="FreeSerif"/>
          <w:sz w:val="44"/>
          <w:szCs w:val="44"/>
        </w:rPr>
      </w:pPr>
    </w:p>
    <w:p w14:paraId="6312C570">
      <w:pPr>
        <w:spacing w:line="600" w:lineRule="exact"/>
        <w:jc w:val="center"/>
        <w:rPr>
          <w:rFonts w:ascii="FreeSerif" w:hAnsi="FreeSerif" w:eastAsia="方正小标宋简体" w:cs="FreeSerif"/>
          <w:sz w:val="44"/>
          <w:szCs w:val="44"/>
        </w:rPr>
      </w:pPr>
    </w:p>
    <w:p w14:paraId="7A416895">
      <w:pPr>
        <w:spacing w:line="600" w:lineRule="exact"/>
        <w:jc w:val="center"/>
        <w:rPr>
          <w:rFonts w:ascii="FreeSerif" w:hAnsi="FreeSerif" w:eastAsia="方正小标宋简体" w:cs="FreeSerif"/>
          <w:sz w:val="44"/>
          <w:szCs w:val="44"/>
        </w:rPr>
      </w:pPr>
    </w:p>
    <w:p w14:paraId="3B888538">
      <w:pPr>
        <w:spacing w:line="600" w:lineRule="exact"/>
        <w:jc w:val="center"/>
        <w:rPr>
          <w:rFonts w:ascii="FreeSerif" w:hAnsi="FreeSerif" w:eastAsia="方正小标宋简体" w:cs="FreeSerif"/>
          <w:sz w:val="44"/>
          <w:szCs w:val="44"/>
        </w:rPr>
      </w:pPr>
    </w:p>
    <w:p w14:paraId="594BCFC3">
      <w:pPr>
        <w:spacing w:line="600" w:lineRule="exact"/>
        <w:jc w:val="center"/>
        <w:rPr>
          <w:rFonts w:ascii="FreeSerif" w:hAnsi="FreeSerif" w:eastAsia="方正小标宋简体" w:cs="FreeSerif"/>
          <w:sz w:val="44"/>
          <w:szCs w:val="44"/>
        </w:rPr>
      </w:pPr>
      <w:r>
        <w:rPr>
          <w:rFonts w:ascii="FreeSerif" w:hAnsi="FreeSerif" w:eastAsia="方正小标宋简体" w:cs="FreeSerif"/>
          <w:sz w:val="44"/>
          <w:szCs w:val="44"/>
        </w:rPr>
        <w:t>内蒙古自治区新就业形态人员职业伤害保障</w:t>
      </w:r>
    </w:p>
    <w:p w14:paraId="08E0CFD7">
      <w:pPr>
        <w:spacing w:line="600" w:lineRule="exact"/>
        <w:jc w:val="center"/>
        <w:rPr>
          <w:rFonts w:ascii="FreeSerif" w:hAnsi="FreeSerif" w:eastAsia="方正小标宋简体" w:cs="FreeSerif"/>
          <w:sz w:val="44"/>
          <w:szCs w:val="44"/>
        </w:rPr>
      </w:pPr>
      <w:r>
        <w:rPr>
          <w:rFonts w:ascii="FreeSerif" w:hAnsi="FreeSerif" w:eastAsia="方正小标宋简体" w:cs="FreeSerif"/>
          <w:sz w:val="44"/>
          <w:szCs w:val="44"/>
        </w:rPr>
        <w:t>业务经办和征收管理规程</w:t>
      </w:r>
    </w:p>
    <w:p w14:paraId="01452060">
      <w:pPr>
        <w:spacing w:line="600" w:lineRule="exact"/>
        <w:rPr>
          <w:rFonts w:ascii="FreeSerif" w:hAnsi="FreeSerif" w:eastAsia="仿宋" w:cs="FreeSerif"/>
          <w:sz w:val="32"/>
          <w:szCs w:val="32"/>
        </w:rPr>
      </w:pPr>
    </w:p>
    <w:p w14:paraId="5C59EC7C">
      <w:pPr>
        <w:spacing w:line="600" w:lineRule="exact"/>
        <w:rPr>
          <w:rFonts w:ascii="FreeSerif" w:hAnsi="FreeSerif" w:eastAsia="仿宋" w:cs="FreeSerif"/>
          <w:sz w:val="32"/>
          <w:szCs w:val="32"/>
        </w:rPr>
      </w:pPr>
    </w:p>
    <w:p w14:paraId="481D1A00">
      <w:pPr>
        <w:spacing w:line="600" w:lineRule="exact"/>
        <w:rPr>
          <w:rFonts w:ascii="FreeSerif" w:hAnsi="FreeSerif" w:eastAsia="仿宋" w:cs="FreeSerif"/>
          <w:sz w:val="32"/>
          <w:szCs w:val="32"/>
        </w:rPr>
      </w:pPr>
      <w:r>
        <w:rPr>
          <w:rFonts w:ascii="FreeSerif" w:hAnsi="FreeSerif" w:eastAsia="仿宋" w:cs="FreeSerif"/>
          <w:sz w:val="32"/>
          <w:szCs w:val="32"/>
        </w:rPr>
        <w:t>第一章  总则</w:t>
      </w:r>
    </w:p>
    <w:p w14:paraId="57B8BE30">
      <w:pPr>
        <w:spacing w:line="600" w:lineRule="exact"/>
        <w:rPr>
          <w:rFonts w:ascii="FreeSerif" w:hAnsi="FreeSerif" w:eastAsia="仿宋" w:cs="FreeSerif"/>
          <w:sz w:val="32"/>
          <w:szCs w:val="32"/>
        </w:rPr>
      </w:pPr>
      <w:r>
        <w:rPr>
          <w:rFonts w:ascii="FreeSerif" w:hAnsi="FreeSerif" w:eastAsia="仿宋" w:cs="FreeSerif"/>
          <w:sz w:val="32"/>
          <w:szCs w:val="32"/>
        </w:rPr>
        <w:t>第二章  参保登记</w:t>
      </w:r>
    </w:p>
    <w:p w14:paraId="73362F02">
      <w:pPr>
        <w:spacing w:line="600" w:lineRule="exact"/>
        <w:rPr>
          <w:rFonts w:ascii="FreeSerif" w:hAnsi="FreeSerif" w:eastAsia="仿宋" w:cs="FreeSerif"/>
          <w:sz w:val="32"/>
          <w:szCs w:val="32"/>
        </w:rPr>
      </w:pPr>
      <w:r>
        <w:rPr>
          <w:rFonts w:ascii="FreeSerif" w:hAnsi="FreeSerif" w:eastAsia="仿宋" w:cs="FreeSerif"/>
          <w:sz w:val="32"/>
          <w:szCs w:val="32"/>
        </w:rPr>
        <w:t>第三章  申报缴费</w:t>
      </w:r>
    </w:p>
    <w:p w14:paraId="5D1DCD6A">
      <w:pPr>
        <w:spacing w:line="600" w:lineRule="exact"/>
        <w:rPr>
          <w:rFonts w:ascii="FreeSerif" w:hAnsi="FreeSerif" w:eastAsia="仿宋" w:cs="FreeSerif"/>
          <w:sz w:val="32"/>
          <w:szCs w:val="32"/>
        </w:rPr>
      </w:pPr>
      <w:r>
        <w:rPr>
          <w:rFonts w:ascii="FreeSerif" w:hAnsi="FreeSerif" w:eastAsia="仿宋" w:cs="FreeSerif"/>
          <w:sz w:val="32"/>
          <w:szCs w:val="32"/>
        </w:rPr>
        <w:t>第四章  职业伤害确认与劳动能力鉴定</w:t>
      </w:r>
    </w:p>
    <w:p w14:paraId="598F89B8">
      <w:pPr>
        <w:spacing w:line="600" w:lineRule="exact"/>
        <w:rPr>
          <w:rFonts w:ascii="FreeSerif" w:hAnsi="FreeSerif" w:eastAsia="仿宋" w:cs="FreeSerif"/>
          <w:sz w:val="32"/>
          <w:szCs w:val="32"/>
        </w:rPr>
      </w:pPr>
      <w:r>
        <w:rPr>
          <w:rFonts w:ascii="FreeSerif" w:hAnsi="FreeSerif" w:eastAsia="仿宋" w:cs="FreeSerif"/>
          <w:sz w:val="32"/>
          <w:szCs w:val="32"/>
        </w:rPr>
        <w:t>第五章  待遇支付</w:t>
      </w:r>
    </w:p>
    <w:p w14:paraId="3153702B">
      <w:pPr>
        <w:spacing w:line="600" w:lineRule="exact"/>
        <w:rPr>
          <w:rFonts w:ascii="FreeSerif" w:hAnsi="FreeSerif" w:eastAsia="仿宋" w:cs="FreeSerif"/>
          <w:sz w:val="32"/>
          <w:szCs w:val="32"/>
        </w:rPr>
      </w:pPr>
      <w:r>
        <w:rPr>
          <w:rFonts w:ascii="FreeSerif" w:hAnsi="FreeSerif" w:eastAsia="仿宋" w:cs="FreeSerif"/>
          <w:sz w:val="32"/>
          <w:szCs w:val="32"/>
        </w:rPr>
        <w:t>第六章  资金管理</w:t>
      </w:r>
    </w:p>
    <w:p w14:paraId="3E553222">
      <w:pPr>
        <w:spacing w:line="600" w:lineRule="exact"/>
        <w:rPr>
          <w:rFonts w:ascii="FreeSerif" w:hAnsi="FreeSerif" w:eastAsia="仿宋" w:cs="FreeSerif"/>
          <w:sz w:val="32"/>
          <w:szCs w:val="32"/>
        </w:rPr>
      </w:pPr>
      <w:r>
        <w:rPr>
          <w:rFonts w:ascii="FreeSerif" w:hAnsi="FreeSerif" w:eastAsia="仿宋" w:cs="FreeSerif"/>
          <w:sz w:val="32"/>
          <w:szCs w:val="32"/>
        </w:rPr>
        <w:t>第七章  信息管理</w:t>
      </w:r>
    </w:p>
    <w:p w14:paraId="348F22B2">
      <w:pPr>
        <w:spacing w:line="600" w:lineRule="exact"/>
        <w:rPr>
          <w:rFonts w:ascii="FreeSerif" w:hAnsi="FreeSerif" w:eastAsia="仿宋" w:cs="FreeSerif"/>
          <w:sz w:val="32"/>
          <w:szCs w:val="32"/>
        </w:rPr>
      </w:pPr>
      <w:r>
        <w:rPr>
          <w:rFonts w:ascii="FreeSerif" w:hAnsi="FreeSerif" w:eastAsia="仿宋" w:cs="FreeSerif"/>
          <w:sz w:val="32"/>
          <w:szCs w:val="32"/>
        </w:rPr>
        <w:t>第八章  服务与监管</w:t>
      </w:r>
    </w:p>
    <w:p w14:paraId="3FB62DBC">
      <w:pPr>
        <w:spacing w:line="600" w:lineRule="exact"/>
        <w:rPr>
          <w:rFonts w:ascii="FreeSerif" w:hAnsi="FreeSerif" w:eastAsia="仿宋" w:cs="FreeSerif"/>
          <w:sz w:val="32"/>
          <w:szCs w:val="32"/>
        </w:rPr>
      </w:pPr>
      <w:r>
        <w:rPr>
          <w:rFonts w:ascii="FreeSerif" w:hAnsi="FreeSerif" w:eastAsia="仿宋" w:cs="FreeSerif"/>
          <w:sz w:val="32"/>
          <w:szCs w:val="32"/>
        </w:rPr>
        <w:t>第九章  附则</w:t>
      </w:r>
    </w:p>
    <w:p w14:paraId="300656FA">
      <w:pPr>
        <w:pStyle w:val="3"/>
        <w:autoSpaceDE/>
        <w:autoSpaceDN/>
        <w:spacing w:line="600" w:lineRule="exact"/>
        <w:jc w:val="both"/>
        <w:rPr>
          <w:rFonts w:ascii="FreeSerif" w:hAnsi="FreeSerif" w:eastAsia="仿宋" w:cs="FreeSerif"/>
          <w:szCs w:val="32"/>
          <w:lang w:eastAsia="zh-CN"/>
        </w:rPr>
      </w:pPr>
    </w:p>
    <w:p w14:paraId="7943ECA7">
      <w:pPr>
        <w:spacing w:line="600" w:lineRule="exact"/>
        <w:rPr>
          <w:rFonts w:ascii="FreeSerif" w:hAnsi="FreeSerif" w:eastAsia="方正仿宋_GB2312" w:cs="FreeSerif"/>
          <w:sz w:val="32"/>
          <w:szCs w:val="32"/>
        </w:rPr>
      </w:pPr>
    </w:p>
    <w:p w14:paraId="378CCA72">
      <w:pPr>
        <w:pStyle w:val="3"/>
        <w:autoSpaceDE/>
        <w:autoSpaceDN/>
        <w:spacing w:line="600" w:lineRule="exact"/>
        <w:jc w:val="both"/>
        <w:rPr>
          <w:rFonts w:ascii="FreeSerif" w:hAnsi="FreeSerif" w:eastAsia="方正仿宋_GB2312" w:cs="FreeSerif"/>
          <w:szCs w:val="32"/>
          <w:lang w:eastAsia="zh-CN"/>
        </w:rPr>
      </w:pPr>
    </w:p>
    <w:p w14:paraId="4A394FC2">
      <w:pPr>
        <w:spacing w:line="600" w:lineRule="exact"/>
        <w:rPr>
          <w:rFonts w:ascii="FreeSerif" w:hAnsi="FreeSerif" w:eastAsia="方正仿宋_GB2312" w:cs="FreeSerif"/>
          <w:sz w:val="32"/>
          <w:szCs w:val="32"/>
        </w:rPr>
      </w:pPr>
    </w:p>
    <w:p w14:paraId="31B3543D">
      <w:pPr>
        <w:spacing w:line="600" w:lineRule="exact"/>
        <w:rPr>
          <w:rFonts w:ascii="FreeSerif" w:hAnsi="FreeSerif" w:eastAsia="方正仿宋_GB2312" w:cs="FreeSerif"/>
          <w:sz w:val="32"/>
          <w:szCs w:val="32"/>
        </w:rPr>
      </w:pPr>
    </w:p>
    <w:p w14:paraId="67F5E8B6">
      <w:pPr>
        <w:spacing w:line="600" w:lineRule="exact"/>
        <w:rPr>
          <w:rFonts w:ascii="FreeSerif" w:hAnsi="FreeSerif" w:eastAsia="方正仿宋_GB2312" w:cs="FreeSerif"/>
          <w:sz w:val="32"/>
          <w:szCs w:val="32"/>
        </w:rPr>
      </w:pPr>
    </w:p>
    <w:p w14:paraId="1DE61E37">
      <w:pPr>
        <w:spacing w:line="600" w:lineRule="exact"/>
        <w:rPr>
          <w:rFonts w:ascii="FreeSerif" w:hAnsi="FreeSerif" w:eastAsia="方正仿宋_GB2312" w:cs="FreeSerif"/>
          <w:sz w:val="32"/>
          <w:szCs w:val="32"/>
        </w:rPr>
      </w:pPr>
    </w:p>
    <w:p w14:paraId="49E2BFCE">
      <w:pPr>
        <w:spacing w:line="600" w:lineRule="exact"/>
        <w:rPr>
          <w:rFonts w:ascii="FreeSerif" w:hAnsi="FreeSerif" w:eastAsia="方正仿宋_GB2312" w:cs="FreeSerif"/>
          <w:sz w:val="32"/>
          <w:szCs w:val="32"/>
        </w:rPr>
      </w:pPr>
    </w:p>
    <w:p w14:paraId="057DA280">
      <w:pPr>
        <w:spacing w:line="600" w:lineRule="exact"/>
        <w:jc w:val="center"/>
        <w:rPr>
          <w:rFonts w:ascii="FreeSerif" w:hAnsi="FreeSerif" w:eastAsia="方正仿宋_GB2312" w:cs="FreeSerif"/>
          <w:highlight w:val="yellow"/>
        </w:rPr>
      </w:pPr>
      <w:r>
        <w:rPr>
          <w:rFonts w:ascii="FreeSerif" w:hAnsi="FreeSerif" w:eastAsia="黑体" w:cs="FreeSerif"/>
          <w:bCs/>
          <w:sz w:val="32"/>
          <w:szCs w:val="32"/>
        </w:rPr>
        <w:t>第一章  总  则</w:t>
      </w:r>
    </w:p>
    <w:p w14:paraId="0CC6636A">
      <w:pPr>
        <w:pStyle w:val="7"/>
        <w:autoSpaceDE/>
        <w:autoSpaceDN/>
        <w:spacing w:before="94" w:line="600" w:lineRule="exact"/>
        <w:ind w:right="98" w:firstLine="680"/>
        <w:jc w:val="both"/>
        <w:rPr>
          <w:rFonts w:ascii="FreeSerif" w:hAnsi="FreeSerif" w:cs="FreeSerif"/>
          <w:color w:val="auto"/>
          <w:spacing w:val="22"/>
          <w:sz w:val="32"/>
          <w:szCs w:val="32"/>
          <w:lang w:eastAsia="zh-CN"/>
        </w:rPr>
      </w:pPr>
      <w:r>
        <w:rPr>
          <w:rFonts w:ascii="FreeSerif" w:hAnsi="FreeSerif" w:cs="FreeSerif"/>
          <w:b/>
          <w:bCs/>
          <w:color w:val="auto"/>
          <w:spacing w:val="22"/>
          <w:sz w:val="32"/>
          <w:szCs w:val="32"/>
          <w:lang w:eastAsia="zh-CN"/>
        </w:rPr>
        <w:t xml:space="preserve">第一条 </w:t>
      </w:r>
      <w:r>
        <w:rPr>
          <w:rFonts w:ascii="FreeSerif" w:hAnsi="FreeSerif" w:cs="FreeSerif"/>
          <w:color w:val="auto"/>
          <w:spacing w:val="22"/>
          <w:sz w:val="32"/>
          <w:szCs w:val="32"/>
          <w:lang w:eastAsia="zh-CN"/>
        </w:rPr>
        <w:t>为了加强职业伤害保障业务经办和征收管理，规范和统一业务操作程序，</w:t>
      </w:r>
      <w:r>
        <w:rPr>
          <w:rFonts w:hint="eastAsia" w:ascii="FreeSerif" w:hAnsi="FreeSerif" w:cs="FreeSerif"/>
          <w:color w:val="auto"/>
          <w:spacing w:val="22"/>
          <w:sz w:val="32"/>
          <w:szCs w:val="32"/>
          <w:lang w:val="en-US" w:eastAsia="zh-CN"/>
        </w:rPr>
        <w:t>根</w:t>
      </w:r>
      <w:r>
        <w:rPr>
          <w:rFonts w:ascii="FreeSerif" w:hAnsi="FreeSerif" w:cs="FreeSerif"/>
          <w:color w:val="auto"/>
          <w:spacing w:val="22"/>
          <w:sz w:val="32"/>
          <w:szCs w:val="32"/>
          <w:lang w:eastAsia="zh-CN"/>
        </w:rPr>
        <w:t>据</w:t>
      </w:r>
      <w:r>
        <w:rPr>
          <w:rFonts w:ascii="FreeSerif" w:hAnsi="FreeSerif" w:eastAsia="方正仿宋_GB2312" w:cs="FreeSerif"/>
          <w:color w:val="auto"/>
          <w:sz w:val="32"/>
          <w:szCs w:val="32"/>
          <w:lang w:eastAsia="zh-CN"/>
        </w:rPr>
        <w:t>《新就业形态人员职业伤害保障办法（试行）</w:t>
      </w:r>
      <w:r>
        <w:rPr>
          <w:rFonts w:ascii="FreeSerif" w:hAnsi="FreeSerif" w:eastAsia="方正仿宋_GB2312" w:cs="FreeSerif"/>
          <w:color w:val="auto"/>
          <w:spacing w:val="22"/>
          <w:sz w:val="32"/>
          <w:szCs w:val="32"/>
          <w:lang w:eastAsia="zh-CN"/>
        </w:rPr>
        <w:t>》（</w:t>
      </w:r>
      <w:r>
        <w:rPr>
          <w:rFonts w:ascii="FreeSerif" w:hAnsi="FreeSerif" w:eastAsia="方正仿宋_GB2312" w:cs="FreeSerif"/>
          <w:color w:val="auto"/>
          <w:sz w:val="32"/>
          <w:szCs w:val="32"/>
          <w:lang w:eastAsia="zh-CN"/>
        </w:rPr>
        <w:t>以下简称《办法》）</w:t>
      </w:r>
      <w:r>
        <w:rPr>
          <w:rFonts w:ascii="FreeSerif" w:hAnsi="FreeSerif" w:cs="FreeSerif"/>
          <w:color w:val="auto"/>
          <w:sz w:val="32"/>
          <w:szCs w:val="32"/>
          <w:lang w:eastAsia="zh-CN"/>
        </w:rPr>
        <w:t>、</w:t>
      </w:r>
      <w:r>
        <w:rPr>
          <w:rFonts w:hint="eastAsia" w:ascii="FreeSerif" w:hAnsi="FreeSerif" w:cs="FreeSerif"/>
          <w:color w:val="auto"/>
          <w:sz w:val="32"/>
          <w:szCs w:val="32"/>
          <w:lang w:eastAsia="zh-CN"/>
        </w:rPr>
        <w:t>《关于修订印发〈新就业形态人员职业伤害保障业务经办和征收管理规程（试行）〉的通知》</w:t>
      </w:r>
      <w:r>
        <w:rPr>
          <w:rFonts w:hint="eastAsia" w:ascii="仿宋" w:hAnsi="仿宋" w:eastAsia="仿宋" w:cs="仿宋"/>
          <w:color w:val="auto"/>
          <w:sz w:val="32"/>
          <w:szCs w:val="32"/>
          <w:lang w:eastAsia="zh-CN"/>
        </w:rPr>
        <w:t>（人社厅函〔2025〕79号）</w:t>
      </w:r>
      <w:r>
        <w:rPr>
          <w:rFonts w:hint="eastAsia" w:ascii="仿宋" w:hAnsi="仿宋" w:eastAsia="仿宋" w:cs="仿宋"/>
          <w:color w:val="auto"/>
          <w:spacing w:val="22"/>
          <w:sz w:val="32"/>
          <w:szCs w:val="32"/>
          <w:lang w:eastAsia="zh-CN"/>
        </w:rPr>
        <w:t>等有关规定，结合自治区实际，</w:t>
      </w:r>
      <w:r>
        <w:rPr>
          <w:rFonts w:ascii="FreeSerif" w:hAnsi="FreeSerif" w:cs="FreeSerif"/>
          <w:color w:val="auto"/>
          <w:spacing w:val="22"/>
          <w:sz w:val="32"/>
          <w:szCs w:val="32"/>
          <w:lang w:eastAsia="zh-CN"/>
        </w:rPr>
        <w:t>制定本规程。</w:t>
      </w:r>
    </w:p>
    <w:p w14:paraId="7C9D1C50">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第二条 </w:t>
      </w:r>
      <w:r>
        <w:rPr>
          <w:rFonts w:ascii="FreeSerif" w:hAnsi="FreeSerif" w:cs="FreeSerif"/>
          <w:spacing w:val="22"/>
          <w:sz w:val="32"/>
          <w:szCs w:val="32"/>
          <w:lang w:eastAsia="zh-CN"/>
        </w:rPr>
        <w:t>本规程适用于自治区人力资源社会保障部门（包括人力资源社会保障行政部门、信息化管理机构、社会保险经办机构和劳动能力鉴定机构，以下统称人社部门）、税务机关，以及工伤保险服务协议机构、试点平台企业及其平台服务机构、新就业形态人员、委托承办商业保险公司（以下简称委托承办机构）等办理职业伤害保障业务的活动。</w:t>
      </w:r>
    </w:p>
    <w:p w14:paraId="6EB75E26">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第三条</w:t>
      </w:r>
      <w:r>
        <w:rPr>
          <w:rFonts w:ascii="FreeSerif" w:hAnsi="FreeSerif" w:cs="FreeSerif"/>
          <w:lang w:eastAsia="zh-CN"/>
        </w:rPr>
        <w:t xml:space="preserve"> </w:t>
      </w:r>
      <w:r>
        <w:rPr>
          <w:rFonts w:ascii="FreeSerif" w:hAnsi="FreeSerif" w:cs="FreeSerif"/>
          <w:spacing w:val="22"/>
          <w:sz w:val="32"/>
          <w:szCs w:val="32"/>
          <w:lang w:eastAsia="zh-CN"/>
        </w:rPr>
        <w:t>平台企业应当依照规定参加新就业形态人员职业伤害保障（以下简称职业伤害保障），为通过平台注册并在自治区行政区域内接单，以平台企业名义提供出行、即时配送和同城货运等劳动并获得报酬或者收入的新就业形态人员缴纳职业伤害保障费。</w:t>
      </w:r>
    </w:p>
    <w:p w14:paraId="3E2B55EA">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第四条</w:t>
      </w:r>
      <w:r>
        <w:rPr>
          <w:rFonts w:ascii="FreeSerif" w:hAnsi="FreeSerif" w:cs="FreeSerif"/>
          <w:lang w:eastAsia="zh-CN"/>
        </w:rPr>
        <w:t xml:space="preserve"> </w:t>
      </w:r>
      <w:r>
        <w:rPr>
          <w:rFonts w:ascii="FreeSerif" w:hAnsi="FreeSerif" w:cs="FreeSerif"/>
          <w:spacing w:val="22"/>
          <w:sz w:val="32"/>
          <w:szCs w:val="32"/>
          <w:lang w:eastAsia="zh-CN"/>
        </w:rPr>
        <w:t>平台企业缴纳的职业伤害保障费及其利息收入纳入自治区工伤保险基金统一管理，在自治区工伤保险统筹基金中单独设立职业伤害保障收入类科目和支出类科目，基金在自治区范围内统一归集和使用，统一核算和结算。职业伤害保障费预算和财务管理按照国家和自治区有关规定执行。</w:t>
      </w:r>
    </w:p>
    <w:p w14:paraId="4A9FEF58">
      <w:pPr>
        <w:pStyle w:val="7"/>
        <w:autoSpaceDE/>
        <w:autoSpaceDN/>
        <w:spacing w:before="94" w:line="600" w:lineRule="exact"/>
        <w:ind w:right="98" w:firstLine="731" w:firstLineChars="20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第五条 </w:t>
      </w:r>
      <w:r>
        <w:rPr>
          <w:rFonts w:ascii="FreeSerif" w:hAnsi="FreeSerif" w:cs="FreeSerif"/>
          <w:spacing w:val="22"/>
          <w:sz w:val="32"/>
          <w:szCs w:val="32"/>
          <w:lang w:eastAsia="zh-CN"/>
        </w:rPr>
        <w:t>自治区人社部门、税务机关按照各自职责实施监督管理。</w:t>
      </w:r>
    </w:p>
    <w:p w14:paraId="280F442B">
      <w:pPr>
        <w:pStyle w:val="7"/>
        <w:autoSpaceDE/>
        <w:autoSpaceDN/>
        <w:spacing w:before="94" w:line="600" w:lineRule="exact"/>
        <w:ind w:right="98" w:firstLine="728" w:firstLineChars="200"/>
        <w:jc w:val="both"/>
        <w:rPr>
          <w:rFonts w:ascii="FreeSerif" w:hAnsi="FreeSerif" w:cs="FreeSerif"/>
          <w:spacing w:val="22"/>
          <w:sz w:val="32"/>
          <w:szCs w:val="32"/>
          <w:lang w:eastAsia="zh-CN"/>
        </w:rPr>
      </w:pPr>
      <w:r>
        <w:rPr>
          <w:rFonts w:ascii="FreeSerif" w:hAnsi="FreeSerif" w:cs="FreeSerif"/>
          <w:spacing w:val="22"/>
          <w:sz w:val="32"/>
          <w:szCs w:val="32"/>
          <w:lang w:eastAsia="zh-CN"/>
        </w:rPr>
        <w:t>自治区级人社</w:t>
      </w:r>
      <w:r>
        <w:rPr>
          <w:rFonts w:hint="eastAsia" w:ascii="FreeSerif" w:hAnsi="FreeSerif" w:cs="FreeSerif"/>
          <w:spacing w:val="22"/>
          <w:sz w:val="32"/>
          <w:szCs w:val="32"/>
          <w:lang w:val="en-US" w:eastAsia="zh-CN"/>
        </w:rPr>
        <w:t>行政</w:t>
      </w:r>
      <w:r>
        <w:rPr>
          <w:rFonts w:ascii="FreeSerif" w:hAnsi="FreeSerif" w:cs="FreeSerif"/>
          <w:spacing w:val="22"/>
          <w:sz w:val="32"/>
          <w:szCs w:val="32"/>
          <w:lang w:eastAsia="zh-CN"/>
        </w:rPr>
        <w:t>部门负责全区职业伤害保障工作的组织实施、监督管理等工作；自治区级人社信息部门负责建设和完善全区职业伤害保障信息平台 （以下简称自治区集中系统），做好与全国集中的职业伤害保障信息平台（以下简称全国信息平台）对接，保障自治区集中系统的正常运行；自治区级鉴定机构负责职业伤害劳动功能障碍程度和生活自理障碍程度的再次鉴定；自治区级社会保险经办机构（以下简称自治区级经办机构）负责全区职业伤害保障经办业务指导、管理以及统计分析、信息公开等工作，具体办理参保登记、资金管理等业务，将参保信息、接单信息等传递给自治区级税务机关。</w:t>
      </w:r>
    </w:p>
    <w:p w14:paraId="012B2836">
      <w:pPr>
        <w:pStyle w:val="7"/>
        <w:autoSpaceDE/>
        <w:autoSpaceDN/>
        <w:spacing w:before="94" w:line="600" w:lineRule="exact"/>
        <w:ind w:right="98" w:firstLine="728" w:firstLineChars="200"/>
        <w:jc w:val="both"/>
        <w:rPr>
          <w:rFonts w:ascii="FreeSerif" w:hAnsi="FreeSerif" w:cs="FreeSerif"/>
          <w:spacing w:val="22"/>
          <w:sz w:val="32"/>
          <w:szCs w:val="32"/>
          <w:lang w:eastAsia="zh-CN"/>
        </w:rPr>
      </w:pPr>
      <w:r>
        <w:rPr>
          <w:rFonts w:ascii="FreeSerif" w:hAnsi="FreeSerif" w:cs="FreeSerif"/>
          <w:spacing w:val="22"/>
          <w:sz w:val="32"/>
          <w:szCs w:val="32"/>
          <w:lang w:eastAsia="zh-CN"/>
        </w:rPr>
        <w:t>盟市、旗县（区）人社</w:t>
      </w:r>
      <w:r>
        <w:rPr>
          <w:rFonts w:hint="eastAsia" w:ascii="FreeSerif" w:hAnsi="FreeSerif" w:cs="FreeSerif"/>
          <w:spacing w:val="22"/>
          <w:sz w:val="32"/>
          <w:szCs w:val="32"/>
          <w:lang w:eastAsia="zh-CN"/>
        </w:rPr>
        <w:t>行政</w:t>
      </w:r>
      <w:r>
        <w:rPr>
          <w:rFonts w:ascii="FreeSerif" w:hAnsi="FreeSerif" w:cs="FreeSerif"/>
          <w:spacing w:val="22"/>
          <w:sz w:val="32"/>
          <w:szCs w:val="32"/>
          <w:lang w:eastAsia="zh-CN"/>
        </w:rPr>
        <w:t>部门负责本行政区域内的职业伤害确认工作，盟市劳动能力鉴定委员会负责本行政区域内职业伤害劳动能力初次（复查）鉴定工作；盟市、旗县（区）社会保险经办机构（以下简称盟市、旗县（区）经办机构）负责本行政区域内职业伤害保障经办业务工作，对委托承办机构进行监督指导。</w:t>
      </w:r>
    </w:p>
    <w:p w14:paraId="7EFFBC1B">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自治区级税务机关负责组织实施全区职业伤害保障费征收管理工作，并及时将缴费信息等回传给自治区级经办机构。</w:t>
      </w:r>
    </w:p>
    <w:p w14:paraId="50EF95BD">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第六条</w:t>
      </w:r>
      <w:r>
        <w:rPr>
          <w:rFonts w:ascii="FreeSerif" w:hAnsi="FreeSerif" w:cs="FreeSerif"/>
          <w:spacing w:val="22"/>
          <w:sz w:val="32"/>
          <w:szCs w:val="32"/>
          <w:lang w:eastAsia="zh-CN"/>
        </w:rPr>
        <w:t xml:space="preserve"> 自治区级人社部门按照公开、公平、公正的原则，通过公开招标方式统一委托符合条件的商业保险机构协助做好职业伤害确认、劳动能力鉴定、待遇核定发放、政策宣传解释、信访投诉处理、档案管理等相关工作。</w:t>
      </w:r>
    </w:p>
    <w:p w14:paraId="5129B12A">
      <w:pPr>
        <w:pStyle w:val="7"/>
        <w:autoSpaceDE/>
        <w:autoSpaceDN/>
        <w:spacing w:before="94" w:line="600" w:lineRule="exact"/>
        <w:ind w:right="98" w:firstLine="731" w:firstLineChars="20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第七条 </w:t>
      </w:r>
      <w:r>
        <w:rPr>
          <w:rFonts w:ascii="FreeSerif" w:hAnsi="FreeSerif" w:cs="FreeSerif"/>
          <w:spacing w:val="22"/>
          <w:sz w:val="32"/>
          <w:szCs w:val="32"/>
          <w:lang w:eastAsia="zh-CN"/>
        </w:rPr>
        <w:t>职业伤害保障业务全面应用社会保障卡，加强社银服务联动和相关业务监督，推进待遇进卡，通过使用社会保障卡，联网获取银行账号，社银直联发放，减少操作风险。</w:t>
      </w:r>
    </w:p>
    <w:p w14:paraId="6B0F23F3">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第八条</w:t>
      </w:r>
      <w:r>
        <w:rPr>
          <w:rFonts w:ascii="FreeSerif" w:hAnsi="FreeSerif" w:cs="FreeSerif"/>
          <w:lang w:eastAsia="zh-CN"/>
        </w:rPr>
        <w:t xml:space="preserve"> </w:t>
      </w:r>
      <w:r>
        <w:rPr>
          <w:rFonts w:ascii="FreeSerif" w:hAnsi="FreeSerif" w:cs="FreeSerif"/>
          <w:spacing w:val="22"/>
          <w:sz w:val="32"/>
          <w:szCs w:val="32"/>
          <w:lang w:eastAsia="zh-CN"/>
        </w:rPr>
        <w:t>全区人社部门和税务机关应当适应平台企业跨区域经营、线上化管理和从业人员流动性强等特点，加快推进经办、征管数字化转型，大力推行线上服务，优化流程，精简材料，缩短时限，确保业务办理规范便捷、优质高效。</w:t>
      </w:r>
    </w:p>
    <w:p w14:paraId="4348DA2F">
      <w:pPr>
        <w:pStyle w:val="7"/>
        <w:autoSpaceDE/>
        <w:autoSpaceDN/>
        <w:spacing w:before="94" w:line="600" w:lineRule="exact"/>
        <w:ind w:right="98" w:firstLine="680"/>
        <w:jc w:val="both"/>
        <w:rPr>
          <w:rFonts w:ascii="FreeSerif" w:hAnsi="FreeSerif" w:eastAsia="方正仿宋_GB2312" w:cs="FreeSerif"/>
          <w:spacing w:val="22"/>
          <w:sz w:val="32"/>
          <w:szCs w:val="32"/>
          <w:lang w:eastAsia="zh-CN"/>
        </w:rPr>
      </w:pPr>
    </w:p>
    <w:p w14:paraId="564F7951">
      <w:pPr>
        <w:pStyle w:val="7"/>
        <w:autoSpaceDE/>
        <w:autoSpaceDN/>
        <w:spacing w:before="94" w:line="600" w:lineRule="exact"/>
        <w:ind w:right="98"/>
        <w:jc w:val="center"/>
        <w:rPr>
          <w:rFonts w:ascii="FreeSerif" w:hAnsi="FreeSerif" w:eastAsia="方正仿宋_GB2312" w:cs="FreeSerif"/>
          <w:spacing w:val="22"/>
          <w:sz w:val="32"/>
          <w:szCs w:val="32"/>
          <w:lang w:eastAsia="zh-CN"/>
        </w:rPr>
      </w:pPr>
      <w:r>
        <w:rPr>
          <w:rFonts w:ascii="FreeSerif" w:hAnsi="FreeSerif" w:eastAsia="黑体" w:cs="FreeSerif"/>
          <w:spacing w:val="22"/>
          <w:sz w:val="32"/>
          <w:szCs w:val="32"/>
          <w:lang w:eastAsia="zh-CN"/>
        </w:rPr>
        <w:t>第二章 参保登记</w:t>
      </w:r>
    </w:p>
    <w:p w14:paraId="4BE6C7AE">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第九条 </w:t>
      </w:r>
      <w:r>
        <w:rPr>
          <w:rFonts w:ascii="FreeSerif" w:hAnsi="FreeSerif" w:cs="FreeSerif"/>
          <w:spacing w:val="22"/>
          <w:sz w:val="32"/>
          <w:szCs w:val="32"/>
          <w:lang w:eastAsia="zh-CN"/>
        </w:rPr>
        <w:t>平台企业首次参加职业伤害保障应当自参加试点之日起5个工作日内，由平台企业总部向全国信息平台报送职业伤害保障登记信息，包括：单位名称、统一社会信用代码、法定代表人、成立日期、注册地址、行业主管部门、单位联系人、联系电话等。自治区级经办机构接收全国信息平台同步推送的登记信息后，为平台企业办理职业伤害保障参保登记。</w:t>
      </w:r>
    </w:p>
    <w:p w14:paraId="49DDB0B7">
      <w:pPr>
        <w:spacing w:line="600" w:lineRule="exact"/>
        <w:ind w:firstLine="728" w:firstLineChars="200"/>
        <w:rPr>
          <w:rFonts w:ascii="FreeSerif" w:hAnsi="FreeSerif" w:eastAsia="仿宋" w:cs="FreeSerif"/>
          <w:bCs/>
          <w:sz w:val="32"/>
          <w:szCs w:val="32"/>
        </w:rPr>
      </w:pPr>
      <w:r>
        <w:rPr>
          <w:rFonts w:ascii="FreeSerif" w:hAnsi="FreeSerif" w:eastAsia="仿宋" w:cs="FreeSerif"/>
          <w:spacing w:val="22"/>
          <w:sz w:val="32"/>
          <w:szCs w:val="32"/>
        </w:rPr>
        <w:t>平台企业登记事项发生变更的，应当及时向全国信息平台报送变更登记信息。自治区级经办机构接收全国信息平台同步推送的变更信息后，及时办理信息变更。</w:t>
      </w:r>
    </w:p>
    <w:p w14:paraId="0FE177E0">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自治区级经办机构将平台企业在自治区范围内的职业伤害保障登记（变更）信息通过社会保险费信息共享平台（以下简称社税信息共享平台）同步推送至自治区级税务机关。</w:t>
      </w:r>
    </w:p>
    <w:p w14:paraId="3E3AFE0A">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第十条 </w:t>
      </w:r>
      <w:r>
        <w:rPr>
          <w:rFonts w:ascii="FreeSerif" w:hAnsi="FreeSerif" w:cs="FreeSerif"/>
          <w:spacing w:val="22"/>
          <w:sz w:val="32"/>
          <w:szCs w:val="32"/>
          <w:lang w:eastAsia="zh-CN"/>
        </w:rPr>
        <w:t>自治区级经办机构接收全国信息平台推送的前一日平台接单人员基础信息和接单汇总信息，为新就业形态人员办理参保登记。</w:t>
      </w:r>
    </w:p>
    <w:p w14:paraId="64DA5CA2">
      <w:pPr>
        <w:pStyle w:val="7"/>
        <w:autoSpaceDE/>
        <w:autoSpaceDN/>
        <w:spacing w:before="94" w:line="600" w:lineRule="exact"/>
        <w:ind w:right="98" w:firstLine="728" w:firstLineChars="200"/>
        <w:jc w:val="both"/>
        <w:rPr>
          <w:rFonts w:ascii="FreeSerif" w:hAnsi="FreeSerif" w:cs="FreeSerif"/>
          <w:spacing w:val="22"/>
          <w:sz w:val="32"/>
          <w:szCs w:val="32"/>
          <w:lang w:eastAsia="zh-CN"/>
        </w:rPr>
      </w:pPr>
      <w:r>
        <w:rPr>
          <w:rFonts w:ascii="FreeSerif" w:hAnsi="FreeSerif" w:cs="FreeSerif"/>
          <w:spacing w:val="22"/>
          <w:sz w:val="32"/>
          <w:szCs w:val="32"/>
          <w:lang w:eastAsia="zh-CN"/>
        </w:rPr>
        <w:t>接单人员基础信息包括姓名、性别、出生日期、证件类型、证件号码、联系电话等。</w:t>
      </w:r>
    </w:p>
    <w:p w14:paraId="5847AC1C">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接单汇总信息包括接单人员姓名、证件类型、证件号码、就业（职业）类型、行业类别（出行、即时配送、同城货运等）、接单日期、接单所属盟市、每日总单量等信息。</w:t>
      </w:r>
    </w:p>
    <w:p w14:paraId="3AECB07D">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自治区级经办机构每月5日前（如遇到法定休假日顺延）将全区上月平台企业及新就业形态人员相关信息进行比对后，通过社税信息共享平台传递给自治区级税务机关。</w:t>
      </w:r>
    </w:p>
    <w:p w14:paraId="179367E8">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人社、税务部门经比对发现相关数据有误的，平台企业应积极配合，予以核实修正。自治区级经办机构及时将修正的数据推送至税务部门。</w:t>
      </w:r>
    </w:p>
    <w:p w14:paraId="3693B3D8">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第十一条 </w:t>
      </w:r>
      <w:r>
        <w:rPr>
          <w:rFonts w:ascii="FreeSerif" w:hAnsi="FreeSerif" w:cs="FreeSerif"/>
          <w:spacing w:val="22"/>
          <w:sz w:val="32"/>
          <w:szCs w:val="32"/>
          <w:lang w:eastAsia="zh-CN"/>
        </w:rPr>
        <w:t>每日24时前执行结束的订单计入当日应缴费订单范围，应缴费订单应当同时满足下列条件：</w:t>
      </w:r>
    </w:p>
    <w:p w14:paraId="55BCB10B">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（一）接单人员已经在平台注册且符合平台企业新就业形态人员参保范围；</w:t>
      </w:r>
    </w:p>
    <w:p w14:paraId="4320BA65">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（二）接单人员实际接单并开始执行地点位于自治区行政区域内；</w:t>
      </w:r>
    </w:p>
    <w:p w14:paraId="78BF36A1">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（三）接单人员接单后已经实际执行结束的订单，执行结束的情形包括实际送达、中途转送等。</w:t>
      </w:r>
    </w:p>
    <w:p w14:paraId="18E11886">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第十二条 </w:t>
      </w:r>
      <w:r>
        <w:rPr>
          <w:rFonts w:ascii="FreeSerif" w:hAnsi="FreeSerif" w:cs="FreeSerif"/>
          <w:spacing w:val="22"/>
          <w:sz w:val="32"/>
          <w:szCs w:val="32"/>
          <w:lang w:eastAsia="zh-CN"/>
        </w:rPr>
        <w:t>国家根据不同行业的职业伤害风险程度确定行业的缴费基准额。出行行业按照每单0.01元执行；即时配送行业按照每单0.07元、0.25元执行；同城货运行业按照每单0.18元缴费基准额执行。</w:t>
      </w:r>
    </w:p>
    <w:p w14:paraId="4376AECC">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第十三条 </w:t>
      </w:r>
      <w:r>
        <w:rPr>
          <w:rFonts w:ascii="FreeSerif" w:hAnsi="FreeSerif" w:cs="FreeSerif"/>
          <w:spacing w:val="22"/>
          <w:sz w:val="32"/>
          <w:szCs w:val="32"/>
          <w:lang w:eastAsia="zh-CN"/>
        </w:rPr>
        <w:t>首年行业缴费基准额按国家缴费基准额执行，即时配送行业统一按照每单0.07元执行；次年起，即时配送行业设置两个不同的缴费标准。新参加试点的平台企业首年按国家确定的行业缴费基准额缴费。</w:t>
      </w:r>
    </w:p>
    <w:p w14:paraId="00B827AD">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第十四条 </w:t>
      </w:r>
      <w:r>
        <w:rPr>
          <w:rFonts w:ascii="FreeSerif" w:hAnsi="FreeSerif" w:cs="FreeSerif"/>
          <w:spacing w:val="22"/>
          <w:sz w:val="32"/>
          <w:szCs w:val="32"/>
          <w:lang w:eastAsia="zh-CN"/>
        </w:rPr>
        <w:t>自治区级经办机构可根据职业伤害保障费使用、职业伤害发生率等情况，在平台企业缴费基准额的基础上进行浮动。具体浮动办法按照国家和自治区规定执行。</w:t>
      </w:r>
    </w:p>
    <w:p w14:paraId="755A39E9">
      <w:pPr>
        <w:pStyle w:val="7"/>
        <w:autoSpaceDE/>
        <w:autoSpaceDN/>
        <w:spacing w:before="94" w:line="600" w:lineRule="exact"/>
        <w:ind w:right="98" w:firstLine="680"/>
        <w:jc w:val="both"/>
        <w:rPr>
          <w:rFonts w:ascii="FreeSerif" w:hAnsi="FreeSerif" w:eastAsia="方正仿宋_GB2312" w:cs="FreeSerif"/>
          <w:spacing w:val="22"/>
          <w:sz w:val="32"/>
          <w:szCs w:val="32"/>
          <w:lang w:eastAsia="zh-CN"/>
        </w:rPr>
      </w:pPr>
    </w:p>
    <w:p w14:paraId="4B4BB857">
      <w:pPr>
        <w:pStyle w:val="7"/>
        <w:autoSpaceDE/>
        <w:autoSpaceDN/>
        <w:spacing w:before="94" w:line="600" w:lineRule="exact"/>
        <w:ind w:right="98" w:firstLine="680"/>
        <w:jc w:val="center"/>
        <w:rPr>
          <w:rFonts w:ascii="FreeSerif" w:hAnsi="FreeSerif" w:eastAsia="方正仿宋_GB2312" w:cs="FreeSerif"/>
          <w:spacing w:val="22"/>
          <w:sz w:val="32"/>
          <w:szCs w:val="32"/>
          <w:highlight w:val="yellow"/>
          <w:lang w:eastAsia="zh-CN"/>
        </w:rPr>
      </w:pPr>
      <w:r>
        <w:rPr>
          <w:rFonts w:ascii="FreeSerif" w:hAnsi="FreeSerif" w:eastAsia="黑体" w:cs="FreeSerif"/>
          <w:spacing w:val="22"/>
          <w:sz w:val="32"/>
          <w:szCs w:val="32"/>
          <w:lang w:eastAsia="zh-CN"/>
        </w:rPr>
        <w:t>第三章 申报缴费</w:t>
      </w:r>
    </w:p>
    <w:p w14:paraId="7813AE9D">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第十五条 </w:t>
      </w:r>
      <w:r>
        <w:rPr>
          <w:rFonts w:ascii="FreeSerif" w:hAnsi="FreeSerif" w:cs="FreeSerif"/>
          <w:spacing w:val="22"/>
          <w:sz w:val="32"/>
          <w:szCs w:val="32"/>
          <w:lang w:eastAsia="zh-CN"/>
        </w:rPr>
        <w:t>自治区级税务机关收到平台企业总部职业伤害保障参保登记（变更）信息后，确定职业伤害保障费主管税务机关，职业伤害保障费主管税务机关应及时将其名称、地址、联系方式等相关信息通知平台企业总部。</w:t>
      </w:r>
    </w:p>
    <w:p w14:paraId="0EAC8295">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平台企业总部应于收到通知后10个工作日内向职业伤害保障费主管税务机关办理缴费登记。</w:t>
      </w:r>
    </w:p>
    <w:p w14:paraId="2BFD31E0">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第十六条 </w:t>
      </w:r>
      <w:r>
        <w:rPr>
          <w:rFonts w:ascii="FreeSerif" w:hAnsi="FreeSerif" w:cs="FreeSerif"/>
          <w:spacing w:val="22"/>
          <w:sz w:val="32"/>
          <w:szCs w:val="32"/>
          <w:lang w:eastAsia="zh-CN"/>
        </w:rPr>
        <w:t>职业伤害保障费按月申报缴纳。平台企业总部应当按全国信息平台报送的自治区上月总单量等数据计算应缴费额，于每月15日前填写《新就业形态人员职业伤害保障费缴费申报表》（附件1），并向职业伤害保障费主管税务机关申报缴纳职业伤害保障费。应缴费额为平台企业新就业形态人员在自治区上月总单量与每单缴费标准之积。</w:t>
      </w:r>
    </w:p>
    <w:p w14:paraId="1DBB5164">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第十七条 </w:t>
      </w:r>
      <w:r>
        <w:rPr>
          <w:rFonts w:ascii="FreeSerif" w:hAnsi="FreeSerif" w:cs="FreeSerif"/>
          <w:spacing w:val="22"/>
          <w:sz w:val="32"/>
          <w:szCs w:val="32"/>
          <w:lang w:eastAsia="zh-CN"/>
        </w:rPr>
        <w:t>平台企业总部应当通过税务机关提供的跨省异地电子缴税等渠道，或者按照与自治区级税务机关约定的方式办理。职业伤害保障费款先缴入国库再划转至自治区社会保障基金财政专户。</w:t>
      </w:r>
    </w:p>
    <w:p w14:paraId="1839B814">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第十八条 </w:t>
      </w:r>
      <w:r>
        <w:rPr>
          <w:rFonts w:ascii="FreeSerif" w:hAnsi="FreeSerif" w:cs="FreeSerif"/>
          <w:spacing w:val="22"/>
          <w:sz w:val="32"/>
          <w:szCs w:val="32"/>
          <w:lang w:eastAsia="zh-CN"/>
        </w:rPr>
        <w:t>平台企业总部在申报缴费过程中因操作错误、系统故障造成多缴费款的，可以申请退还。职业伤害保障费主管税务机关应当及时受理核验退费申请，并按照有关规定办理。</w:t>
      </w:r>
    </w:p>
    <w:p w14:paraId="7AD8C844">
      <w:pPr>
        <w:pStyle w:val="7"/>
        <w:autoSpaceDE/>
        <w:autoSpaceDN/>
        <w:spacing w:before="94" w:line="600" w:lineRule="exact"/>
        <w:ind w:right="98" w:firstLine="680"/>
        <w:jc w:val="both"/>
        <w:rPr>
          <w:rFonts w:ascii="FreeSerif" w:hAnsi="FreeSerif" w:eastAsia="方正仿宋_GB2312" w:cs="FreeSerif"/>
          <w:spacing w:val="22"/>
          <w:sz w:val="32"/>
          <w:szCs w:val="32"/>
          <w:lang w:eastAsia="zh-CN"/>
        </w:rPr>
      </w:pPr>
    </w:p>
    <w:p w14:paraId="188D4887">
      <w:pPr>
        <w:pStyle w:val="7"/>
        <w:autoSpaceDE/>
        <w:autoSpaceDN/>
        <w:spacing w:before="94" w:line="600" w:lineRule="exact"/>
        <w:ind w:right="98" w:firstLine="680"/>
        <w:jc w:val="center"/>
        <w:rPr>
          <w:rFonts w:ascii="FreeSerif" w:hAnsi="FreeSerif" w:eastAsia="方正仿宋_GB2312" w:cs="FreeSerif"/>
          <w:spacing w:val="22"/>
          <w:sz w:val="32"/>
          <w:szCs w:val="32"/>
          <w:lang w:eastAsia="zh-CN"/>
        </w:rPr>
      </w:pPr>
      <w:r>
        <w:rPr>
          <w:rFonts w:ascii="FreeSerif" w:hAnsi="FreeSerif" w:eastAsia="黑体" w:cs="FreeSerif"/>
          <w:spacing w:val="22"/>
          <w:sz w:val="32"/>
          <w:szCs w:val="32"/>
          <w:lang w:eastAsia="zh-CN"/>
        </w:rPr>
        <w:t>第四章 职业伤害确认与劳动能力鉴定</w:t>
      </w:r>
    </w:p>
    <w:p w14:paraId="2BF95F60">
      <w:pPr>
        <w:pStyle w:val="7"/>
        <w:autoSpaceDE/>
        <w:autoSpaceDN/>
        <w:spacing w:before="94" w:line="600" w:lineRule="exact"/>
        <w:ind w:right="98" w:firstLine="731" w:firstLineChars="20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第十九条 </w:t>
      </w:r>
      <w:r>
        <w:rPr>
          <w:rFonts w:ascii="FreeSerif" w:hAnsi="FreeSerif" w:cs="FreeSerif"/>
          <w:spacing w:val="22"/>
          <w:sz w:val="32"/>
          <w:szCs w:val="32"/>
          <w:lang w:eastAsia="zh-CN"/>
        </w:rPr>
        <w:t>《办法》第十一条第一款第（一）项中“履行平台服务内容”分别是指网约司机提供的驾乘、即时配送提供的食品（物品）配送、同城货运提供货物运输及搬运服务等。</w:t>
      </w:r>
    </w:p>
    <w:p w14:paraId="33262529">
      <w:pPr>
        <w:pStyle w:val="7"/>
        <w:autoSpaceDE/>
        <w:autoSpaceDN/>
        <w:spacing w:before="94" w:line="600" w:lineRule="exact"/>
        <w:ind w:right="98" w:firstLine="728" w:firstLineChars="200"/>
        <w:jc w:val="both"/>
        <w:rPr>
          <w:rFonts w:ascii="FreeSerif" w:hAnsi="FreeSerif" w:cs="FreeSerif"/>
          <w:spacing w:val="22"/>
          <w:sz w:val="32"/>
          <w:szCs w:val="32"/>
          <w:lang w:eastAsia="zh-CN"/>
        </w:rPr>
      </w:pPr>
      <w:r>
        <w:rPr>
          <w:rFonts w:ascii="FreeSerif" w:hAnsi="FreeSerif" w:cs="FreeSerif"/>
          <w:spacing w:val="22"/>
          <w:sz w:val="32"/>
          <w:szCs w:val="32"/>
          <w:lang w:eastAsia="zh-CN"/>
        </w:rPr>
        <w:t>《办法》第十一条第一款第（二）项确认的情形，主要是指受平台企业常规管理的新就业形态人员（包括已注册但当日尚未接单的人员），根据平台管理要求，在指定时间前往指定场所进行定位考勤考核、参加业务培训等事宜，或者在执行平台订单任务后返回日常居所的合理路线途中，受到非本人主要责任的交通事故或者城市轨道交通、客运轮渡、火车事故伤害的，属于职业伤害保障范围。</w:t>
      </w:r>
    </w:p>
    <w:p w14:paraId="1EF7FCB6">
      <w:pPr>
        <w:pStyle w:val="7"/>
        <w:autoSpaceDE/>
        <w:autoSpaceDN/>
        <w:spacing w:before="94" w:line="600" w:lineRule="exact"/>
        <w:ind w:right="98" w:firstLine="731" w:firstLineChars="20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第二十条 </w:t>
      </w:r>
      <w:r>
        <w:rPr>
          <w:rFonts w:ascii="FreeSerif" w:hAnsi="FreeSerif" w:cs="FreeSerif"/>
          <w:spacing w:val="22"/>
          <w:sz w:val="32"/>
          <w:szCs w:val="32"/>
          <w:lang w:eastAsia="zh-CN"/>
        </w:rPr>
        <w:t>新就业形态人员发生事故伤害的，可以通过平台企业在应用客户端中设置的“一键报案”功能，向平台企业发送事故报案信息，平台企业初步核实后将事故报案信息及时报送全国信息平台。事故报案信息包括：</w:t>
      </w:r>
    </w:p>
    <w:p w14:paraId="1F4248EC">
      <w:pPr>
        <w:pStyle w:val="7"/>
        <w:autoSpaceDE/>
        <w:autoSpaceDN/>
        <w:spacing w:before="94" w:line="600" w:lineRule="exact"/>
        <w:ind w:right="98" w:firstLine="728" w:firstLineChars="200"/>
        <w:jc w:val="both"/>
        <w:rPr>
          <w:rFonts w:ascii="FreeSerif" w:hAnsi="FreeSerif" w:cs="FreeSerif"/>
          <w:spacing w:val="22"/>
          <w:sz w:val="32"/>
          <w:szCs w:val="32"/>
          <w:lang w:eastAsia="zh-CN"/>
        </w:rPr>
      </w:pPr>
      <w:r>
        <w:rPr>
          <w:rFonts w:ascii="FreeSerif" w:hAnsi="FreeSerif" w:cs="FreeSerif"/>
          <w:spacing w:val="22"/>
          <w:sz w:val="32"/>
          <w:szCs w:val="32"/>
          <w:lang w:eastAsia="zh-CN"/>
        </w:rPr>
        <w:t>（一）个人信息：受伤害人姓名、证件类型、证件号码、手机号码；</w:t>
      </w:r>
    </w:p>
    <w:p w14:paraId="0DCF34A7">
      <w:pPr>
        <w:pStyle w:val="7"/>
        <w:autoSpaceDE/>
        <w:autoSpaceDN/>
        <w:spacing w:before="94" w:line="600" w:lineRule="exact"/>
        <w:ind w:right="98" w:firstLine="728" w:firstLineChars="200"/>
        <w:jc w:val="both"/>
        <w:rPr>
          <w:rFonts w:ascii="FreeSerif" w:hAnsi="FreeSerif" w:cs="FreeSerif"/>
          <w:spacing w:val="22"/>
          <w:sz w:val="32"/>
          <w:szCs w:val="32"/>
          <w:lang w:eastAsia="zh-CN"/>
        </w:rPr>
      </w:pPr>
      <w:r>
        <w:rPr>
          <w:rFonts w:ascii="FreeSerif" w:hAnsi="FreeSerif" w:cs="FreeSerif"/>
          <w:spacing w:val="22"/>
          <w:sz w:val="32"/>
          <w:szCs w:val="32"/>
          <w:lang w:eastAsia="zh-CN"/>
        </w:rPr>
        <w:t>（二）事故信息：事故发生时间</w:t>
      </w:r>
      <w:r>
        <w:rPr>
          <w:rFonts w:hint="eastAsia" w:ascii="FreeSerif" w:hAnsi="FreeSerif" w:cs="FreeSerif"/>
          <w:spacing w:val="22"/>
          <w:sz w:val="32"/>
          <w:szCs w:val="32"/>
          <w:lang w:eastAsia="zh-CN"/>
        </w:rPr>
        <w:t>，</w:t>
      </w:r>
      <w:r>
        <w:rPr>
          <w:rFonts w:ascii="FreeSerif" w:hAnsi="FreeSerif" w:cs="FreeSerif"/>
          <w:spacing w:val="22"/>
          <w:sz w:val="32"/>
          <w:szCs w:val="32"/>
          <w:lang w:eastAsia="zh-CN"/>
        </w:rPr>
        <w:t>伤害发生地具体地点</w:t>
      </w:r>
      <w:r>
        <w:rPr>
          <w:rFonts w:hint="eastAsia" w:ascii="FreeSerif" w:hAnsi="FreeSerif" w:cs="FreeSerif"/>
          <w:spacing w:val="22"/>
          <w:sz w:val="32"/>
          <w:szCs w:val="32"/>
          <w:lang w:eastAsia="zh-CN"/>
        </w:rPr>
        <w:t>，</w:t>
      </w:r>
      <w:r>
        <w:rPr>
          <w:rFonts w:ascii="FreeSerif" w:hAnsi="FreeSerif" w:cs="FreeSerif"/>
          <w:spacing w:val="22"/>
          <w:sz w:val="32"/>
          <w:szCs w:val="32"/>
          <w:lang w:eastAsia="zh-CN"/>
        </w:rPr>
        <w:t>事故类型（如交通事故、暴力等意外伤害）</w:t>
      </w:r>
      <w:r>
        <w:rPr>
          <w:rFonts w:hint="eastAsia" w:ascii="FreeSerif" w:hAnsi="FreeSerif" w:cs="FreeSerif"/>
          <w:spacing w:val="22"/>
          <w:sz w:val="32"/>
          <w:szCs w:val="32"/>
          <w:lang w:eastAsia="zh-CN"/>
        </w:rPr>
        <w:t>，</w:t>
      </w:r>
      <w:r>
        <w:rPr>
          <w:rFonts w:ascii="FreeSerif" w:hAnsi="FreeSerif" w:cs="FreeSerif"/>
          <w:spacing w:val="22"/>
          <w:sz w:val="32"/>
          <w:szCs w:val="32"/>
          <w:lang w:eastAsia="zh-CN"/>
        </w:rPr>
        <w:t>伤害情况（部位）</w:t>
      </w:r>
      <w:r>
        <w:rPr>
          <w:rFonts w:hint="eastAsia" w:ascii="FreeSerif" w:hAnsi="FreeSerif" w:cs="FreeSerif"/>
          <w:spacing w:val="22"/>
          <w:sz w:val="32"/>
          <w:szCs w:val="32"/>
          <w:lang w:eastAsia="zh-CN"/>
        </w:rPr>
        <w:t>，</w:t>
      </w:r>
      <w:r>
        <w:rPr>
          <w:rFonts w:ascii="FreeSerif" w:hAnsi="FreeSerif" w:cs="FreeSerif"/>
          <w:spacing w:val="22"/>
          <w:sz w:val="32"/>
          <w:szCs w:val="32"/>
          <w:lang w:eastAsia="zh-CN"/>
        </w:rPr>
        <w:t>伤害发生地所在旗县（区）行政区划</w:t>
      </w:r>
      <w:r>
        <w:rPr>
          <w:rFonts w:hint="eastAsia" w:ascii="FreeSerif" w:hAnsi="FreeSerif" w:cs="FreeSerif"/>
          <w:spacing w:val="22"/>
          <w:sz w:val="32"/>
          <w:szCs w:val="32"/>
          <w:lang w:eastAsia="zh-CN"/>
        </w:rPr>
        <w:t>，</w:t>
      </w:r>
      <w:r>
        <w:rPr>
          <w:rFonts w:ascii="FreeSerif" w:hAnsi="FreeSerif" w:cs="FreeSerif"/>
          <w:spacing w:val="22"/>
          <w:sz w:val="32"/>
          <w:szCs w:val="32"/>
          <w:lang w:eastAsia="zh-CN"/>
        </w:rPr>
        <w:t>伤害发生地所在旗县（区）名称等；</w:t>
      </w:r>
    </w:p>
    <w:p w14:paraId="00E9BD07">
      <w:pPr>
        <w:pStyle w:val="7"/>
        <w:autoSpaceDE/>
        <w:autoSpaceDN/>
        <w:spacing w:before="94" w:line="600" w:lineRule="exact"/>
        <w:ind w:right="98" w:firstLine="728" w:firstLineChars="200"/>
        <w:jc w:val="both"/>
        <w:rPr>
          <w:rFonts w:ascii="FreeSerif" w:hAnsi="FreeSerif" w:cs="FreeSerif"/>
          <w:spacing w:val="22"/>
          <w:sz w:val="32"/>
          <w:szCs w:val="32"/>
          <w:lang w:eastAsia="zh-CN"/>
        </w:rPr>
      </w:pPr>
      <w:r>
        <w:rPr>
          <w:rFonts w:ascii="FreeSerif" w:hAnsi="FreeSerif" w:cs="FreeSerif"/>
          <w:spacing w:val="22"/>
          <w:sz w:val="32"/>
          <w:szCs w:val="32"/>
          <w:lang w:eastAsia="zh-CN"/>
        </w:rPr>
        <w:t>（三）接单信息：订单执行开始时间、结束时间、出发地点、目的地点，行动轨迹，就业（职业）类型，行业类别，订单出发地所在旗县（区）行政区划、订单出发地所在旗县（区）名称等；</w:t>
      </w:r>
    </w:p>
    <w:p w14:paraId="117B5EBA">
      <w:pPr>
        <w:pStyle w:val="7"/>
        <w:autoSpaceDE/>
        <w:autoSpaceDN/>
        <w:spacing w:before="94" w:line="600" w:lineRule="exact"/>
        <w:ind w:right="98" w:firstLine="728" w:firstLineChars="200"/>
        <w:jc w:val="both"/>
        <w:rPr>
          <w:rFonts w:ascii="FreeSerif" w:hAnsi="FreeSerif" w:cs="FreeSerif"/>
          <w:spacing w:val="22"/>
          <w:sz w:val="32"/>
          <w:szCs w:val="32"/>
          <w:lang w:eastAsia="zh-CN"/>
        </w:rPr>
      </w:pPr>
      <w:r>
        <w:rPr>
          <w:rFonts w:ascii="FreeSerif" w:hAnsi="FreeSerif" w:cs="FreeSerif"/>
          <w:spacing w:val="22"/>
          <w:sz w:val="32"/>
          <w:szCs w:val="32"/>
          <w:lang w:eastAsia="zh-CN"/>
        </w:rPr>
        <w:t>（四）其他信息：按《办法》第十一条规定的其他确认情形的相关信息。</w:t>
      </w:r>
    </w:p>
    <w:p w14:paraId="11CF9A6D">
      <w:pPr>
        <w:pStyle w:val="7"/>
        <w:autoSpaceDE/>
        <w:autoSpaceDN/>
        <w:spacing w:before="94" w:line="600" w:lineRule="exact"/>
        <w:ind w:right="98" w:firstLine="728" w:firstLineChars="200"/>
        <w:jc w:val="both"/>
        <w:rPr>
          <w:rFonts w:ascii="FreeSerif" w:hAnsi="FreeSerif" w:cs="FreeSerif"/>
          <w:spacing w:val="22"/>
          <w:sz w:val="32"/>
          <w:szCs w:val="32"/>
          <w:lang w:eastAsia="zh-CN"/>
        </w:rPr>
      </w:pPr>
      <w:r>
        <w:rPr>
          <w:rFonts w:ascii="FreeSerif" w:hAnsi="FreeSerif" w:cs="FreeSerif"/>
          <w:spacing w:val="22"/>
          <w:sz w:val="32"/>
          <w:szCs w:val="32"/>
          <w:lang w:eastAsia="zh-CN"/>
        </w:rPr>
        <w:t>新就业形态人员因伤情较重等原因无法自行报案的，平台企业应当通过技术手段及时识别未完成的异常订单，核实情况后主动向全国信息平台进行报案。</w:t>
      </w:r>
    </w:p>
    <w:p w14:paraId="7C7BDD3F">
      <w:pPr>
        <w:pStyle w:val="7"/>
        <w:autoSpaceDE/>
        <w:autoSpaceDN/>
        <w:spacing w:before="94" w:line="600" w:lineRule="exact"/>
        <w:ind w:right="98" w:firstLine="728" w:firstLineChars="200"/>
        <w:jc w:val="both"/>
        <w:rPr>
          <w:rFonts w:ascii="FreeSerif" w:hAnsi="FreeSerif" w:cs="FreeSerif"/>
          <w:spacing w:val="22"/>
          <w:sz w:val="32"/>
          <w:szCs w:val="32"/>
          <w:lang w:eastAsia="zh-CN"/>
        </w:rPr>
      </w:pPr>
      <w:r>
        <w:rPr>
          <w:rFonts w:ascii="FreeSerif" w:hAnsi="FreeSerif" w:cs="FreeSerif"/>
          <w:spacing w:val="22"/>
          <w:sz w:val="32"/>
          <w:szCs w:val="32"/>
          <w:lang w:eastAsia="zh-CN"/>
        </w:rPr>
        <w:t>自治区集中系统接收全国信息平台推送的“一键报案”信息后，进行事故备案。</w:t>
      </w:r>
    </w:p>
    <w:p w14:paraId="429C4A66">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第二十一条 </w:t>
      </w:r>
      <w:r>
        <w:rPr>
          <w:rFonts w:ascii="FreeSerif" w:hAnsi="FreeSerif" w:cs="FreeSerif"/>
          <w:spacing w:val="22"/>
          <w:sz w:val="32"/>
          <w:szCs w:val="32"/>
          <w:lang w:eastAsia="zh-CN"/>
        </w:rPr>
        <w:t>新就业形态人员发生职业伤害，由职业伤害发生地的委托承办机构协助人社部门受理、经办职业伤害保障待遇给付申请相关业务。因执行平台订单任务在自治区行政区域外发生事故伤害的，以该平台订单任务的接单地作为职业伤害发生地。</w:t>
      </w:r>
    </w:p>
    <w:p w14:paraId="082B1342">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第二十二条 </w:t>
      </w:r>
      <w:r>
        <w:rPr>
          <w:rFonts w:ascii="FreeSerif" w:hAnsi="FreeSerif" w:cs="FreeSerif"/>
          <w:spacing w:val="22"/>
          <w:sz w:val="32"/>
          <w:szCs w:val="32"/>
          <w:lang w:eastAsia="zh-CN"/>
        </w:rPr>
        <w:t>新就业形态人员发生职业伤害等情形，平台企业应当在伤害发生之日起30日内，通过全国信息平台向职业伤害发生地的委托承办机构提出职业伤害保障待遇给付申请，上报事故报案信息、银行账户信息等，全国信息平台会同步推送至自治区集中系统。</w:t>
      </w:r>
    </w:p>
    <w:p w14:paraId="0E77E590">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平台企业总部也可以委托当地的平台服务机构，向职业伤害发生地的委托承办机构提出职业伤害保障待遇给付申请，并配合做好事故调查等工作。</w:t>
      </w:r>
    </w:p>
    <w:p w14:paraId="24245B4C">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平台企业或者平台服务机构未按照规定提出职业伤害保障待遇申请的，新就业形态人员或者其近亲属、工会组织在事故伤害发生之日起90日内，可直接向职业伤害发生地委托承办机构提出职业伤害保障待遇给付申请。</w:t>
      </w:r>
    </w:p>
    <w:p w14:paraId="713C9165">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第二十三条 </w:t>
      </w:r>
      <w:r>
        <w:rPr>
          <w:rFonts w:ascii="FreeSerif" w:hAnsi="FreeSerif" w:cs="FreeSerif"/>
          <w:spacing w:val="22"/>
          <w:sz w:val="32"/>
          <w:szCs w:val="32"/>
          <w:lang w:eastAsia="zh-CN"/>
        </w:rPr>
        <w:t>平台企业或者新就业形态人员等遇有特殊情况，不能在规定的申请期限内提出职业伤害保障待遇给付申请的，应在申请期限到期前向人社部门说明合理原因，提交职业伤害保障待遇申请超期说明（附件2），但最长均不得超过《工伤保险条例》第十七条规定的工伤认定申请期限。</w:t>
      </w:r>
    </w:p>
    <w:p w14:paraId="140AF567">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平台企业未在规定的时限内提交职业伤害保障待遇给付申请，在此期间发生的符合《办法》和本规程规定的职业伤害保障待遇等费用由平台企业承担。</w:t>
      </w:r>
    </w:p>
    <w:p w14:paraId="6398BD48">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第二十四条 </w:t>
      </w:r>
      <w:r>
        <w:rPr>
          <w:rFonts w:ascii="FreeSerif" w:hAnsi="FreeSerif" w:cs="FreeSerif"/>
          <w:spacing w:val="22"/>
          <w:sz w:val="32"/>
          <w:szCs w:val="32"/>
          <w:lang w:eastAsia="zh-CN"/>
        </w:rPr>
        <w:t>提出职业伤害保障待遇给付申请应当填报《职业伤害保障伤残待遇申请表》（附件3）或者《职业伤害保障死亡待遇申请表》（附件4），并依照申报情形提供相应材料（附件5）；申请人提供材料不齐全的，委托承办机构应当自收到申请之日起5个工作日内一次性告知申请人需要补正的全部材料，申请人收到一次性补正告知后，应当在10日内提交补正材料，委托承办机构予以受理。其中，需相关部门出具证明材料的，出具时间不计入提交补正材料的时限：</w:t>
      </w:r>
    </w:p>
    <w:p w14:paraId="0A1EB238">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（一）新就业形态人员的居民身份证或者社会保障卡等其他有效身份证明；</w:t>
      </w:r>
    </w:p>
    <w:p w14:paraId="1DBA423B">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（二）事故现场的图片、报警、出警记录等；</w:t>
      </w:r>
    </w:p>
    <w:p w14:paraId="05F8B3A2">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三）平台企业提交的新就业形态人员事故发生当日订单执行开始时间、出发地点、结束时间、结束地点、行程轨迹等接单数据；新就业形态人员或者其近亲属等难以提供上述接单数据时，委托承办机构可以通过自治区集中系统向全国信息平台申请查询新就业形态人员当天接单数据；</w:t>
      </w:r>
    </w:p>
    <w:p w14:paraId="2B710E83">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（四）医疗机构出具的受伤后诊断证明或者救治记录；</w:t>
      </w:r>
    </w:p>
    <w:p w14:paraId="7594314C">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（五）新就业形态人员社会保障卡银行账户或者银行卡等支付账户信息；由平台企业或者平台服务机构垫付费用的，提供平台企业或者平台服务机构银行账号和双方确认垫付事实的书面材料（附件6）；</w:t>
      </w:r>
    </w:p>
    <w:p w14:paraId="56C452FD">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六）《知情同意确认书》（附件7），即签署确认接收职业伤害相关结论线上线下通知的书面文件。职业伤害相关结论包括职业伤害确认结论、鉴定结论、待遇支付结果等。确认内容包括送达对象、送达地址、送达方式等；</w:t>
      </w:r>
    </w:p>
    <w:p w14:paraId="1423E35C">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（七）有下列情形之一的，还应当分别提交相应材料：</w:t>
      </w:r>
    </w:p>
    <w:p w14:paraId="73CADAB8">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1.在执行平台订单任务期间，因履行平台服务内容受到事故伤害、暴力等意外伤害或者发生事故下落不明的，提交公安部门证明、人民法院生效裁判文书或者其他相关部门的证明；</w:t>
      </w:r>
    </w:p>
    <w:p w14:paraId="6AADD696">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2.已参加职业伤害保障且受平台企业（平台服务机构）常规管理的专职新就业形态人员，按要求在指定时间前往指定场所接受平台企业（平台服务机构）常规管理的合理路线途中，或者在完成平台订单任务并结束在线工作状态后在合理时间返回日常居所的合理路线途中，受到非本人主要责任的交通事故或者城市轨道交通、客运轮渡、火车事故伤害的，提交平台企业常规管理制度（如考勤考核、接受日常管理、业务培训等）和公安机关交通管理部门、法律法规授权组织出具的具有结论性意见的责任认定文书或者人民法院生效的裁判文书；</w:t>
      </w:r>
    </w:p>
    <w:p w14:paraId="1CD9A517">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3.在执行平台订单任务期间，突发疾病死亡或者在48小时之内经抢救无效死亡的，提交医疗机构的抢救证明及死亡证明；</w:t>
      </w:r>
    </w:p>
    <w:p w14:paraId="1FAED808">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4.在执行平台订单任务期间，因抢险救灾等维护国家利益、公共利益活动中受到伤害的，提交民政部门或者其他相关部门的证明；</w:t>
      </w:r>
    </w:p>
    <w:p w14:paraId="0F2FBFB0">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5.新就业形态人员原在军队服役、因战、因公负伤致残，已取得革命伤残军人证或者残疾军人证，在平台就业期间旧伤复发的，提交革命伤残军人证或者残疾军人证，及户籍所在地设区的盟市级以上人民政府退役军人事务部门组织医疗卫生专家小组确认出具的旧伤复发医学鉴定意见等。</w:t>
      </w:r>
    </w:p>
    <w:p w14:paraId="27749B45">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申请人在职业伤害确认结论出具前，可以通过原申请途径提出待遇给付申请撤销。</w:t>
      </w:r>
    </w:p>
    <w:p w14:paraId="4BD1DAED">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第二十五条 </w:t>
      </w:r>
      <w:r>
        <w:rPr>
          <w:rFonts w:ascii="FreeSerif" w:hAnsi="FreeSerif" w:cs="FreeSerif"/>
          <w:spacing w:val="22"/>
          <w:sz w:val="32"/>
          <w:szCs w:val="32"/>
          <w:lang w:eastAsia="zh-CN"/>
        </w:rPr>
        <w:t>委托承办机构在收到职业伤害保障待遇给付申请后，应当协助人社行政部门及时开展职业伤害确认调查核实。在职业伤害确认中，可以进行以下调查核实工作：</w:t>
      </w:r>
    </w:p>
    <w:p w14:paraId="062EB503">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（一）根据工作需要，进入平台企业、平台服务机构和事故现场；</w:t>
      </w:r>
    </w:p>
    <w:p w14:paraId="2C89CB02">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（二）依法查阅与职业伤害确认有关的资料，询问有关人员并作出调查记录；</w:t>
      </w:r>
    </w:p>
    <w:p w14:paraId="5BF19B24">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（三）记录、录音、录像和复制与职业伤害确认有关的资料。</w:t>
      </w:r>
    </w:p>
    <w:p w14:paraId="6A590F73">
      <w:pPr>
        <w:pStyle w:val="7"/>
        <w:autoSpaceDE/>
        <w:autoSpaceDN/>
        <w:spacing w:before="94" w:line="600" w:lineRule="exact"/>
        <w:ind w:right="98" w:firstLine="731" w:firstLineChars="20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第二十六条 </w:t>
      </w:r>
      <w:r>
        <w:rPr>
          <w:rFonts w:ascii="FreeSerif" w:hAnsi="FreeSerif" w:cs="FreeSerif"/>
          <w:spacing w:val="22"/>
          <w:sz w:val="32"/>
          <w:szCs w:val="32"/>
          <w:lang w:eastAsia="zh-CN"/>
        </w:rPr>
        <w:t>委托承办机构</w:t>
      </w:r>
      <w:r>
        <w:rPr>
          <w:rFonts w:ascii="FreeSerif" w:hAnsi="FreeSerif" w:cs="FreeSerif"/>
          <w:sz w:val="32"/>
          <w:szCs w:val="32"/>
          <w:lang w:eastAsia="zh-CN"/>
        </w:rPr>
        <w:t>应当协助人社行政部门在收到职业伤害保障待遇给付申请之日起</w:t>
      </w:r>
      <w:r>
        <w:rPr>
          <w:rFonts w:ascii="FreeSerif" w:hAnsi="FreeSerif" w:cs="FreeSerif"/>
          <w:spacing w:val="22"/>
          <w:sz w:val="32"/>
          <w:szCs w:val="32"/>
          <w:lang w:eastAsia="zh-CN"/>
        </w:rPr>
        <w:t>在30个工作日内作出确认结论，</w:t>
      </w:r>
      <w:r>
        <w:rPr>
          <w:rFonts w:ascii="FreeSerif" w:hAnsi="FreeSerif" w:cs="FreeSerif"/>
          <w:sz w:val="32"/>
          <w:szCs w:val="32"/>
          <w:lang w:eastAsia="zh-CN"/>
        </w:rPr>
        <w:t>出具《职业伤害确认结论书》（附件8）或者《不予确认职业伤害结论书》（附件9），并加盖人社行政部门职业伤害确认专用印章。</w:t>
      </w:r>
      <w:r>
        <w:rPr>
          <w:rFonts w:ascii="FreeSerif" w:hAnsi="FreeSerif" w:cs="FreeSerif"/>
          <w:spacing w:val="22"/>
          <w:sz w:val="32"/>
          <w:szCs w:val="32"/>
          <w:lang w:eastAsia="zh-CN"/>
        </w:rPr>
        <w:t>对于事实清楚、证据充分、权利义务明确的职业伤害确认申请，应当在7个工作日内作出确认结论。</w:t>
      </w:r>
    </w:p>
    <w:p w14:paraId="07C03FEC">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第二十七条</w:t>
      </w:r>
      <w:r>
        <w:rPr>
          <w:rFonts w:ascii="FreeSerif" w:hAnsi="FreeSerif" w:cs="FreeSerif"/>
          <w:spacing w:val="22"/>
          <w:sz w:val="32"/>
          <w:szCs w:val="32"/>
          <w:lang w:eastAsia="zh-CN"/>
        </w:rPr>
        <w:t xml:space="preserve"> 《职业伤害确认结论》（附件8），包括下列内容：</w:t>
      </w:r>
    </w:p>
    <w:p w14:paraId="03134831">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（一）平台企业、新就业形态人员或者其他申请人的基本信息；</w:t>
      </w:r>
    </w:p>
    <w:p w14:paraId="5A361B89">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（二）调查核实的受伤部位、事故发生时间和伤害经过、诊断救治等情况；</w:t>
      </w:r>
    </w:p>
    <w:p w14:paraId="539304E4">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（三）确认职业伤害的理由和依据；</w:t>
      </w:r>
    </w:p>
    <w:p w14:paraId="58C1DE6F">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（四）不服确认结论申请行政复议或者提起行政诉讼的途径和期限；</w:t>
      </w:r>
    </w:p>
    <w:p w14:paraId="1AC26E0F">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（五）作出伤害确认结论的时间。</w:t>
      </w:r>
    </w:p>
    <w:p w14:paraId="18830EC7">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第二十八条 </w:t>
      </w:r>
      <w:r>
        <w:rPr>
          <w:rFonts w:ascii="FreeSerif" w:hAnsi="FreeSerif" w:cs="FreeSerif"/>
          <w:spacing w:val="22"/>
          <w:sz w:val="32"/>
          <w:szCs w:val="32"/>
          <w:lang w:eastAsia="zh-CN"/>
        </w:rPr>
        <w:t>《不予确认职业伤害结论》（附件9），包括下列内容：</w:t>
      </w:r>
    </w:p>
    <w:p w14:paraId="18D27DEF">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（一）平台企业、新就业形态人员或者其他申请人的基本信息；</w:t>
      </w:r>
    </w:p>
    <w:p w14:paraId="43FFA9E7">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（二）调查核实的事实经过和不予确认的理由和依据；</w:t>
      </w:r>
    </w:p>
    <w:p w14:paraId="0FE7FAD5">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（三）不服确认结论申请行政复议或者提起行政诉讼的途径和期限；</w:t>
      </w:r>
    </w:p>
    <w:p w14:paraId="1CE949D4">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（四）作出不予伤害确认结论的时间。</w:t>
      </w:r>
    </w:p>
    <w:p w14:paraId="441FE022">
      <w:pPr>
        <w:pStyle w:val="7"/>
        <w:autoSpaceDE/>
        <w:autoSpaceDN/>
        <w:spacing w:before="94" w:line="600" w:lineRule="exact"/>
        <w:ind w:right="98" w:firstLine="680"/>
        <w:jc w:val="both"/>
        <w:rPr>
          <w:rFonts w:hint="eastAsia" w:ascii="仿宋" w:hAnsi="仿宋" w:eastAsia="仿宋" w:cs="仿宋"/>
          <w:spacing w:val="22"/>
          <w:sz w:val="32"/>
          <w:szCs w:val="32"/>
          <w:lang w:eastAsia="zh-CN"/>
        </w:rPr>
      </w:pPr>
      <w:r>
        <w:rPr>
          <w:rFonts w:ascii="FreeSerif" w:hAnsi="FreeSerif" w:cs="FreeSerif"/>
          <w:b/>
          <w:bCs/>
          <w:spacing w:val="22"/>
          <w:sz w:val="32"/>
          <w:szCs w:val="32"/>
          <w:lang w:eastAsia="zh-CN"/>
        </w:rPr>
        <w:t xml:space="preserve">第二十九条 </w:t>
      </w:r>
      <w:r>
        <w:rPr>
          <w:rFonts w:hint="eastAsia" w:ascii="FreeSerif" w:hAnsi="FreeSerif" w:cs="FreeSerif"/>
          <w:b w:val="0"/>
          <w:bCs w:val="0"/>
          <w:spacing w:val="22"/>
          <w:sz w:val="32"/>
          <w:szCs w:val="32"/>
          <w:lang w:val="en-US" w:eastAsia="zh-CN"/>
        </w:rPr>
        <w:t>人社行政部门</w:t>
      </w:r>
      <w:r>
        <w:rPr>
          <w:rFonts w:hint="eastAsia" w:ascii="仿宋" w:hAnsi="仿宋" w:eastAsia="仿宋" w:cs="仿宋"/>
          <w:b w:val="0"/>
          <w:bCs w:val="0"/>
          <w:spacing w:val="22"/>
          <w:sz w:val="32"/>
          <w:szCs w:val="32"/>
          <w:lang w:eastAsia="zh-CN"/>
        </w:rPr>
        <w:t>作出确认职业伤害结论或者不予确认职业伤害结论之日起3个工作日内，</w:t>
      </w:r>
      <w:r>
        <w:rPr>
          <w:rFonts w:hint="eastAsia" w:cs="仿宋"/>
          <w:b w:val="0"/>
          <w:bCs w:val="0"/>
          <w:spacing w:val="22"/>
          <w:sz w:val="32"/>
          <w:szCs w:val="32"/>
          <w:lang w:val="en-US" w:eastAsia="zh-CN"/>
        </w:rPr>
        <w:t>委托承办机构</w:t>
      </w:r>
      <w:r>
        <w:rPr>
          <w:rFonts w:hint="eastAsia" w:ascii="仿宋" w:hAnsi="仿宋" w:eastAsia="仿宋" w:cs="仿宋"/>
          <w:b w:val="0"/>
          <w:bCs w:val="0"/>
          <w:spacing w:val="22"/>
          <w:sz w:val="32"/>
          <w:szCs w:val="32"/>
          <w:lang w:eastAsia="zh-CN"/>
        </w:rPr>
        <w:t>按照申请人事先知情同意并留存的送达方式，将结论信息通过人社部门线上服务渠道推送或者线下送达平台服务机构或者新就业形态人员等申请人，并将结论信息推送全国信息平台</w:t>
      </w:r>
      <w:r>
        <w:rPr>
          <w:rFonts w:hint="eastAsia" w:ascii="仿宋" w:hAnsi="仿宋" w:eastAsia="仿宋" w:cs="仿宋"/>
          <w:spacing w:val="22"/>
          <w:sz w:val="32"/>
          <w:szCs w:val="32"/>
          <w:lang w:eastAsia="zh-CN"/>
        </w:rPr>
        <w:t>。</w:t>
      </w:r>
    </w:p>
    <w:p w14:paraId="5B8AFA70">
      <w:pPr>
        <w:spacing w:line="600" w:lineRule="exact"/>
        <w:ind w:firstLine="910" w:firstLineChars="250"/>
        <w:rPr>
          <w:rFonts w:hint="eastAsia" w:ascii="仿宋" w:hAnsi="仿宋" w:eastAsia="仿宋" w:cs="仿宋"/>
          <w:spacing w:val="22"/>
          <w:sz w:val="32"/>
          <w:szCs w:val="32"/>
        </w:rPr>
      </w:pPr>
      <w:r>
        <w:rPr>
          <w:rFonts w:hint="eastAsia" w:ascii="仿宋" w:hAnsi="仿宋" w:eastAsia="仿宋" w:cs="仿宋"/>
          <w:spacing w:val="22"/>
          <w:sz w:val="32"/>
          <w:szCs w:val="32"/>
        </w:rPr>
        <w:t>申请人可以通过委托承办机构或者人社部门线上服务渠道查询、下载和打印加盖电子印章的职业伤害确认结论书或者不予确认职业伤害结论书，与纸质结论书具有同等法律效力，也可以通过全国信息平台查询结论信息。</w:t>
      </w:r>
    </w:p>
    <w:p w14:paraId="6294D736">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确认职业伤害结论或者不予确认职业伤害结论通过自治区集中系统自动推送给当地劳动能力鉴定委员会和经办机构。</w:t>
      </w:r>
    </w:p>
    <w:p w14:paraId="77226D7A">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第三十条 </w:t>
      </w:r>
      <w:r>
        <w:rPr>
          <w:rFonts w:ascii="FreeSerif" w:hAnsi="FreeSerif" w:cs="FreeSerif"/>
          <w:spacing w:val="22"/>
          <w:sz w:val="32"/>
          <w:szCs w:val="32"/>
          <w:lang w:eastAsia="zh-CN"/>
        </w:rPr>
        <w:t>新就业形态人员在多个平台注册接单的，发生职业伤害事故后，由发生事故伤害时正在执行订单任务的派单平台承担职业伤害保障的平台责任。</w:t>
      </w:r>
    </w:p>
    <w:p w14:paraId="7D418D5B">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多平台接单的新就业形态人员发生事故的，应当如实报告相关情况；平台企业和平台服务机构应当在事故发生后、平台责任确认前主动申报、配合调查，不得以非本平台责任为由推诿推脱。新就业形态人员同时接送多平台订单任务且路程相同或者重合，难以区分平台任务的，以同一路程首接单确认平台责任。</w:t>
      </w:r>
    </w:p>
    <w:p w14:paraId="53638FBC">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委托承办机构可以通过自治区集中系统向全国信息平台申请按日查询新就业形态人员涉及的平台企业接单数据，全国信息平台将每个平台企业返回的订单执行开始时间、出发地点、结束时间、结束地点、行程轨迹等接单数据推送至自治区集中系统，委托承办机构经调查核实后确认首单平台责任。</w:t>
      </w:r>
    </w:p>
    <w:p w14:paraId="2DE8F1F0">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第三十一条 </w:t>
      </w:r>
      <w:r>
        <w:rPr>
          <w:rFonts w:ascii="FreeSerif" w:hAnsi="FreeSerif" w:cs="FreeSerif"/>
          <w:spacing w:val="22"/>
          <w:sz w:val="32"/>
          <w:szCs w:val="32"/>
          <w:lang w:eastAsia="zh-CN"/>
        </w:rPr>
        <w:t>职业伤害确认结论作出后，委托承办机构应主动对接平台企业、平台服务机构和新就业形态人员，通过人社部门线上服务渠道或者线下送达方式及时提醒、告知其劳动能力鉴定申请、医疗费报销、待遇享受等有关工作安排和要求。</w:t>
      </w:r>
    </w:p>
    <w:p w14:paraId="7196AE28">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第三十二条 </w:t>
      </w:r>
      <w:r>
        <w:rPr>
          <w:rFonts w:ascii="FreeSerif" w:hAnsi="FreeSerif" w:cs="FreeSerif"/>
          <w:spacing w:val="22"/>
          <w:sz w:val="32"/>
          <w:szCs w:val="32"/>
          <w:lang w:eastAsia="zh-CN"/>
        </w:rPr>
        <w:t>新就业形态人员受到职业伤害，经治疗伤情相对稳定后存在残疾、影响劳动能力的，或者治疗职业伤害期满（含劳动能力鉴定机构确认的延长期限），应当进行劳动能力鉴定。</w:t>
      </w:r>
    </w:p>
    <w:p w14:paraId="3B739CFA">
      <w:pPr>
        <w:pStyle w:val="7"/>
        <w:autoSpaceDE/>
        <w:autoSpaceDN/>
        <w:spacing w:before="94" w:line="600" w:lineRule="exact"/>
        <w:ind w:right="98" w:firstLine="680"/>
        <w:jc w:val="both"/>
        <w:rPr>
          <w:rFonts w:ascii="FreeSerif" w:hAnsi="FreeSerif" w:cs="FreeSerif"/>
          <w:spacing w:val="22"/>
          <w:sz w:val="32"/>
          <w:szCs w:val="32"/>
          <w:highlight w:val="none"/>
          <w:lang w:eastAsia="zh-CN"/>
        </w:rPr>
      </w:pPr>
      <w:r>
        <w:rPr>
          <w:rFonts w:ascii="FreeSerif" w:hAnsi="FreeSerif" w:cs="FreeSerif"/>
          <w:spacing w:val="22"/>
          <w:sz w:val="32"/>
          <w:szCs w:val="32"/>
          <w:lang w:eastAsia="zh-CN"/>
        </w:rPr>
        <w:t>新就业形态人员进行劳动能力鉴定的，由职业伤害确认地的委托承办机构协助盟市级鉴定机构受理、经办劳动能力鉴定相关业务。委托承办机构在收到劳动能力鉴定申请后，应当及时对申请人提交的材料进行审核，申请人提供材料完整的，及</w:t>
      </w:r>
      <w:r>
        <w:rPr>
          <w:rFonts w:ascii="FreeSerif" w:hAnsi="FreeSerif" w:cs="FreeSerif"/>
          <w:spacing w:val="22"/>
          <w:sz w:val="32"/>
          <w:szCs w:val="32"/>
          <w:highlight w:val="none"/>
          <w:lang w:eastAsia="zh-CN"/>
        </w:rPr>
        <w:t>时通知职业伤害确认地的盟市级鉴定机构，按照盟市级鉴定机构指定的时间</w:t>
      </w:r>
      <w:r>
        <w:rPr>
          <w:rFonts w:hint="eastAsia" w:ascii="FreeSerif" w:hAnsi="FreeSerif" w:cs="FreeSerif"/>
          <w:spacing w:val="22"/>
          <w:sz w:val="32"/>
          <w:szCs w:val="32"/>
          <w:highlight w:val="none"/>
          <w:lang w:eastAsia="zh-CN"/>
        </w:rPr>
        <w:t>地点</w:t>
      </w:r>
      <w:r>
        <w:rPr>
          <w:rFonts w:ascii="FreeSerif" w:hAnsi="FreeSerif" w:cs="FreeSerif"/>
          <w:spacing w:val="22"/>
          <w:sz w:val="32"/>
          <w:szCs w:val="32"/>
          <w:highlight w:val="none"/>
          <w:lang w:eastAsia="zh-CN"/>
        </w:rPr>
        <w:t>，提前通知并协助组织、监督新就业形态人员携带相关材料参加现场鉴定。</w:t>
      </w:r>
    </w:p>
    <w:p w14:paraId="231076F2">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委托承办机构应当在自治区集中系统记录鉴定信息和鉴定结论等业务信息，并将结论信息推送至全国信息平台。</w:t>
      </w:r>
    </w:p>
    <w:p w14:paraId="56302A8B">
      <w:pPr>
        <w:pStyle w:val="7"/>
        <w:autoSpaceDE/>
        <w:autoSpaceDN/>
        <w:spacing w:before="94" w:line="600" w:lineRule="exact"/>
        <w:ind w:right="98" w:firstLine="680"/>
        <w:jc w:val="both"/>
        <w:rPr>
          <w:rFonts w:ascii="FreeSerif" w:hAnsi="FreeSerif" w:cs="FreeSerif"/>
          <w:b/>
          <w:bCs/>
          <w:spacing w:val="22"/>
          <w:sz w:val="32"/>
          <w:szCs w:val="32"/>
          <w:lang w:eastAsia="zh-CN"/>
        </w:rPr>
      </w:pPr>
      <w:r>
        <w:rPr>
          <w:rFonts w:ascii="FreeSerif" w:hAnsi="FreeSerif" w:cs="FreeSerif"/>
          <w:spacing w:val="22"/>
          <w:sz w:val="32"/>
          <w:szCs w:val="32"/>
          <w:lang w:eastAsia="zh-CN"/>
        </w:rPr>
        <w:t>委托承办机构协助平台企业（平台服务机构）、职业伤害人员（其近亲属）通过人社部门线上服务渠道或者盟市级鉴定机构经办大厅选择申请鉴定类型，预约劳动能力鉴定时间，按照</w:t>
      </w:r>
      <w:r>
        <w:rPr>
          <w:rFonts w:ascii="FreeSerif" w:hAnsi="FreeSerif" w:cs="FreeSerif"/>
          <w:color w:val="auto"/>
          <w:spacing w:val="22"/>
          <w:sz w:val="32"/>
          <w:szCs w:val="32"/>
          <w:lang w:eastAsia="zh-CN"/>
        </w:rPr>
        <w:t>规定持劳动能力鉴定申请表（附件10）、相关病历诊断材料等参加职业伤害确认地的盟市级劳动能力鉴定委员会</w:t>
      </w:r>
      <w:r>
        <w:rPr>
          <w:rFonts w:ascii="FreeSerif" w:hAnsi="FreeSerif" w:cs="FreeSerif"/>
          <w:spacing w:val="22"/>
          <w:sz w:val="32"/>
          <w:szCs w:val="32"/>
          <w:lang w:eastAsia="zh-CN"/>
        </w:rPr>
        <w:t>组织的劳动能力鉴定。</w:t>
      </w:r>
    </w:p>
    <w:p w14:paraId="5C989380">
      <w:pPr>
        <w:pStyle w:val="7"/>
        <w:autoSpaceDE/>
        <w:autoSpaceDN/>
        <w:spacing w:before="94" w:line="600" w:lineRule="exact"/>
        <w:ind w:right="98" w:firstLine="680"/>
        <w:jc w:val="both"/>
        <w:rPr>
          <w:rFonts w:ascii="FreeSerif" w:hAnsi="FreeSerif" w:cs="FreeSerif"/>
          <w:spacing w:val="22"/>
          <w:sz w:val="32"/>
          <w:szCs w:val="32"/>
          <w:highlight w:val="yellow"/>
          <w:lang w:eastAsia="zh-CN"/>
        </w:rPr>
      </w:pPr>
      <w:r>
        <w:rPr>
          <w:rFonts w:ascii="FreeSerif" w:hAnsi="FreeSerif" w:cs="FreeSerif"/>
          <w:spacing w:val="22"/>
          <w:sz w:val="32"/>
          <w:szCs w:val="32"/>
          <w:lang w:eastAsia="zh-CN"/>
        </w:rPr>
        <w:t>鉴定程序和标准参照《劳动能力鉴定管理办法》，以及现行的《劳动能力鉴定职工工伤与职业病致残等级》（GB/T16180）执行。</w:t>
      </w:r>
    </w:p>
    <w:p w14:paraId="275CD50D">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第三十三条</w:t>
      </w:r>
      <w:r>
        <w:rPr>
          <w:rFonts w:ascii="FreeSerif" w:hAnsi="FreeSerif" w:cs="FreeSerif"/>
          <w:b/>
          <w:bCs/>
          <w:color w:val="auto"/>
          <w:spacing w:val="22"/>
          <w:sz w:val="32"/>
          <w:szCs w:val="32"/>
          <w:lang w:eastAsia="zh-CN"/>
        </w:rPr>
        <w:t xml:space="preserve"> </w:t>
      </w:r>
      <w:r>
        <w:rPr>
          <w:rFonts w:ascii="FreeSerif" w:hAnsi="FreeSerif" w:cs="FreeSerif"/>
          <w:color w:val="auto"/>
          <w:spacing w:val="22"/>
          <w:sz w:val="32"/>
          <w:szCs w:val="32"/>
          <w:lang w:eastAsia="zh-CN"/>
        </w:rPr>
        <w:t>劳动能力鉴定机构作出劳动能力鉴定结论（附件11、12）后，应当在自治区集中系统记录鉴定信息和鉴定结论等业</w:t>
      </w:r>
      <w:r>
        <w:rPr>
          <w:rFonts w:ascii="FreeSerif" w:hAnsi="FreeSerif" w:cs="FreeSerif"/>
          <w:spacing w:val="22"/>
          <w:sz w:val="32"/>
          <w:szCs w:val="32"/>
          <w:lang w:eastAsia="zh-CN"/>
        </w:rPr>
        <w:t>务信息</w:t>
      </w:r>
      <w:r>
        <w:rPr>
          <w:rFonts w:hint="eastAsia" w:ascii="FreeSerif" w:hAnsi="FreeSerif" w:cs="FreeSerif"/>
          <w:spacing w:val="22"/>
          <w:sz w:val="32"/>
          <w:szCs w:val="32"/>
          <w:lang w:eastAsia="zh-CN"/>
        </w:rPr>
        <w:t>。</w:t>
      </w:r>
      <w:r>
        <w:rPr>
          <w:rFonts w:hint="eastAsia" w:ascii="FreeSerif" w:hAnsi="FreeSerif" w:cs="FreeSerif"/>
          <w:spacing w:val="22"/>
          <w:sz w:val="32"/>
          <w:szCs w:val="32"/>
          <w:lang w:val="en-US" w:eastAsia="zh-CN"/>
        </w:rPr>
        <w:t>委托承办机构</w:t>
      </w:r>
      <w:r>
        <w:rPr>
          <w:rFonts w:ascii="FreeSerif" w:hAnsi="FreeSerif" w:cs="FreeSerif"/>
          <w:spacing w:val="22"/>
          <w:sz w:val="32"/>
          <w:szCs w:val="32"/>
          <w:lang w:eastAsia="zh-CN"/>
        </w:rPr>
        <w:t>按照申请人事先知情确认并留存的送达方式，将鉴定结论通过人社部门线上服务渠道</w:t>
      </w:r>
      <w:r>
        <w:rPr>
          <w:rFonts w:hint="eastAsia" w:ascii="FreeSerif" w:hAnsi="FreeSerif" w:cs="FreeSerif"/>
          <w:spacing w:val="22"/>
          <w:sz w:val="32"/>
          <w:szCs w:val="32"/>
          <w:lang w:val="en-US" w:eastAsia="zh-CN"/>
        </w:rPr>
        <w:t>推送</w:t>
      </w:r>
      <w:r>
        <w:rPr>
          <w:rFonts w:ascii="FreeSerif" w:hAnsi="FreeSerif" w:cs="FreeSerif"/>
          <w:spacing w:val="22"/>
          <w:sz w:val="32"/>
          <w:szCs w:val="32"/>
          <w:lang w:eastAsia="zh-CN"/>
        </w:rPr>
        <w:t>或者线下送达平台服务机构或者新就业形态人员等申请人，并将结论信息推送至全国信息平台。</w:t>
      </w:r>
    </w:p>
    <w:p w14:paraId="3462669C">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平台企业、新就业形态人员对初次鉴定结论不服的，可以在收到该鉴定结论之日起15日内向自治区级劳动能力鉴定委员会申请再次鉴定。</w:t>
      </w:r>
    </w:p>
    <w:p w14:paraId="1341D79C">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自劳动能力鉴定结论作出之日起1年后，新就业形态人员、平台企业或者经办机构认为伤残情况发生变化的，可以向设区的盟市级劳动能力鉴定委员会申请劳动能力复查鉴定。</w:t>
      </w:r>
    </w:p>
    <w:p w14:paraId="729A633C">
      <w:pPr>
        <w:pStyle w:val="7"/>
        <w:autoSpaceDE/>
        <w:autoSpaceDN/>
        <w:spacing w:before="94" w:line="600" w:lineRule="exact"/>
        <w:ind w:right="98" w:firstLine="680"/>
        <w:jc w:val="both"/>
        <w:rPr>
          <w:rFonts w:ascii="FreeSerif" w:hAnsi="FreeSerif" w:eastAsia="方正仿宋_GB2312" w:cs="FreeSerif"/>
          <w:spacing w:val="22"/>
          <w:sz w:val="32"/>
          <w:szCs w:val="32"/>
          <w:lang w:eastAsia="zh-CN"/>
        </w:rPr>
      </w:pPr>
    </w:p>
    <w:p w14:paraId="4C54B453">
      <w:pPr>
        <w:pStyle w:val="7"/>
        <w:autoSpaceDE/>
        <w:autoSpaceDN/>
        <w:spacing w:before="94" w:line="600" w:lineRule="exact"/>
        <w:ind w:right="98" w:firstLine="680"/>
        <w:jc w:val="center"/>
        <w:rPr>
          <w:rFonts w:ascii="FreeSerif" w:hAnsi="FreeSerif" w:eastAsia="方正仿宋_GB2312" w:cs="FreeSerif"/>
          <w:bCs/>
          <w:spacing w:val="20"/>
          <w:sz w:val="32"/>
          <w:szCs w:val="32"/>
          <w:lang w:eastAsia="zh-CN"/>
        </w:rPr>
      </w:pPr>
      <w:r>
        <w:rPr>
          <w:rFonts w:ascii="FreeSerif" w:hAnsi="FreeSerif" w:eastAsia="黑体" w:cs="FreeSerif"/>
          <w:bCs/>
          <w:spacing w:val="20"/>
          <w:sz w:val="32"/>
          <w:szCs w:val="32"/>
          <w:lang w:eastAsia="zh-CN"/>
        </w:rPr>
        <w:t>第五章 待遇支付</w:t>
      </w:r>
    </w:p>
    <w:p w14:paraId="2F8BE5EE">
      <w:pPr>
        <w:pStyle w:val="7"/>
        <w:autoSpaceDE/>
        <w:autoSpaceDN/>
        <w:spacing w:before="94" w:line="600" w:lineRule="exact"/>
        <w:ind w:right="98" w:firstLine="690" w:firstLineChars="200"/>
        <w:jc w:val="both"/>
        <w:rPr>
          <w:rFonts w:ascii="FreeSerif" w:hAnsi="FreeSerif" w:cs="FreeSerif"/>
          <w:spacing w:val="22"/>
          <w:sz w:val="32"/>
          <w:szCs w:val="32"/>
          <w:lang w:eastAsia="zh-CN"/>
        </w:rPr>
      </w:pPr>
      <w:r>
        <w:rPr>
          <w:rFonts w:ascii="FreeSerif" w:hAnsi="FreeSerif" w:cs="FreeSerif"/>
          <w:b/>
          <w:bCs/>
          <w:spacing w:val="22"/>
          <w:lang w:eastAsia="zh-CN"/>
        </w:rPr>
        <w:t xml:space="preserve">第三十四条 </w:t>
      </w:r>
      <w:r>
        <w:rPr>
          <w:rFonts w:ascii="FreeSerif" w:hAnsi="FreeSerif" w:cs="FreeSerif"/>
          <w:spacing w:val="22"/>
          <w:lang w:eastAsia="zh-CN"/>
        </w:rPr>
        <w:t>职业伤害保障待遇包含医疗待遇、伤残待遇</w:t>
      </w:r>
      <w:r>
        <w:rPr>
          <w:rFonts w:ascii="FreeSerif" w:hAnsi="FreeSerif" w:cs="FreeSerif"/>
          <w:spacing w:val="22"/>
          <w:sz w:val="32"/>
          <w:szCs w:val="32"/>
          <w:lang w:eastAsia="zh-CN"/>
        </w:rPr>
        <w:t>和死亡待遇。新就业形态人员因职业伤害发生的下列费用，从工伤保险基金中的职业伤害保障支出科目列支：</w:t>
      </w:r>
    </w:p>
    <w:p w14:paraId="2BEBB491">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（一）医疗费用和康复费用；</w:t>
      </w:r>
    </w:p>
    <w:p w14:paraId="189666B6">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（二）安装配置伤残辅助器具所需费用；</w:t>
      </w:r>
    </w:p>
    <w:p w14:paraId="1E7B941C">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（三）经劳动能力鉴定机构确认为生活不能自理的，按月领取的生活护理费；</w:t>
      </w:r>
    </w:p>
    <w:p w14:paraId="735CB127">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（四）因职业伤害死亡的，其近亲属领取的丧葬补助金、供养亲属抚恤金和一次性职业伤害死亡补助金；</w:t>
      </w:r>
    </w:p>
    <w:p w14:paraId="4823A584">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（五）一级至十级伤残人员的一次性伤残补助金、一级至四级伤残人员按月领取的伤残津贴；</w:t>
      </w:r>
    </w:p>
    <w:p w14:paraId="34DB91EC">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spacing w:val="22"/>
          <w:sz w:val="32"/>
          <w:szCs w:val="32"/>
          <w:lang w:eastAsia="zh-CN"/>
        </w:rPr>
        <w:t>（六）五级、六级伤残人员的一次性津贴。</w:t>
      </w:r>
    </w:p>
    <w:p w14:paraId="021E95A0">
      <w:pPr>
        <w:pStyle w:val="7"/>
        <w:autoSpaceDE/>
        <w:autoSpaceDN/>
        <w:spacing w:before="94" w:line="600" w:lineRule="exact"/>
        <w:ind w:right="98" w:firstLine="680"/>
        <w:jc w:val="both"/>
        <w:rPr>
          <w:rFonts w:ascii="FreeSerif" w:hAnsi="FreeSerif" w:cs="FreeSerif"/>
          <w:spacing w:val="22"/>
          <w:sz w:val="32"/>
          <w:szCs w:val="32"/>
          <w:lang w:eastAsia="zh-CN"/>
        </w:rPr>
      </w:pPr>
      <w:r>
        <w:rPr>
          <w:rFonts w:ascii="FreeSerif" w:hAnsi="FreeSerif" w:cs="FreeSerif"/>
          <w:b/>
          <w:bCs/>
          <w:spacing w:val="22"/>
          <w:sz w:val="32"/>
          <w:szCs w:val="32"/>
          <w:lang w:eastAsia="zh-CN"/>
        </w:rPr>
        <w:t xml:space="preserve">第三十五条 </w:t>
      </w:r>
      <w:r>
        <w:rPr>
          <w:rFonts w:ascii="FreeSerif" w:hAnsi="FreeSerif" w:cs="FreeSerif"/>
          <w:spacing w:val="22"/>
          <w:sz w:val="32"/>
          <w:szCs w:val="32"/>
          <w:lang w:eastAsia="zh-CN"/>
        </w:rPr>
        <w:t>新就业形态人员因遭受职业伤害进行治疗，享受职业伤害保障医疗待遇，应当在签订工伤保险医疗服务协议的</w:t>
      </w:r>
      <w:r>
        <w:rPr>
          <w:rFonts w:ascii="FreeSerif" w:hAnsi="FreeSerif" w:cs="FreeSerif"/>
          <w:spacing w:val="21"/>
          <w:sz w:val="32"/>
          <w:szCs w:val="32"/>
          <w:lang w:eastAsia="zh-CN"/>
        </w:rPr>
        <w:t>医疗机构就医，情况紧急时可以先到就近的医疗机构急救，伤情</w:t>
      </w:r>
      <w:r>
        <w:rPr>
          <w:rFonts w:ascii="FreeSerif" w:hAnsi="FreeSerif" w:cs="FreeSerif"/>
          <w:spacing w:val="22"/>
          <w:sz w:val="32"/>
          <w:szCs w:val="32"/>
          <w:lang w:eastAsia="zh-CN"/>
        </w:rPr>
        <w:t>平稳后转到协议医疗机构治疗。</w:t>
      </w:r>
    </w:p>
    <w:p w14:paraId="7A0A23E4">
      <w:pPr>
        <w:pStyle w:val="7"/>
        <w:autoSpaceDE/>
        <w:autoSpaceDN/>
        <w:spacing w:before="94" w:line="600" w:lineRule="exact"/>
        <w:ind w:right="98" w:firstLine="680"/>
        <w:jc w:val="both"/>
        <w:rPr>
          <w:rFonts w:ascii="FreeSerif" w:hAnsi="FreeSerif" w:cs="FreeSerif"/>
          <w:spacing w:val="20"/>
          <w:sz w:val="32"/>
          <w:szCs w:val="32"/>
          <w:lang w:eastAsia="zh-CN"/>
        </w:rPr>
      </w:pPr>
      <w:r>
        <w:rPr>
          <w:rFonts w:ascii="FreeSerif" w:hAnsi="FreeSerif" w:cs="FreeSerif"/>
          <w:spacing w:val="22"/>
          <w:sz w:val="32"/>
          <w:szCs w:val="32"/>
          <w:lang w:eastAsia="zh-CN"/>
        </w:rPr>
        <w:t>治疗职业伤害</w:t>
      </w:r>
      <w:r>
        <w:rPr>
          <w:rFonts w:ascii="FreeSerif" w:hAnsi="FreeSerif" w:cs="FreeSerif"/>
          <w:spacing w:val="20"/>
          <w:sz w:val="32"/>
          <w:szCs w:val="32"/>
          <w:lang w:eastAsia="zh-CN"/>
        </w:rPr>
        <w:t>参照自治区基本医疗保险</w:t>
      </w:r>
      <w:r>
        <w:rPr>
          <w:rFonts w:ascii="FreeSerif" w:hAnsi="FreeSerif" w:cs="FreeSerif"/>
          <w:spacing w:val="21"/>
          <w:sz w:val="32"/>
          <w:szCs w:val="32"/>
          <w:lang w:eastAsia="zh-CN"/>
        </w:rPr>
        <w:t>诊疗</w:t>
      </w:r>
      <w:r>
        <w:rPr>
          <w:rFonts w:ascii="FreeSerif" w:hAnsi="FreeSerif" w:cs="FreeSerif"/>
          <w:spacing w:val="20"/>
          <w:sz w:val="32"/>
          <w:szCs w:val="32"/>
          <w:lang w:eastAsia="zh-CN"/>
        </w:rPr>
        <w:t>项目目录、工伤保险药品目录、工伤保险住院服务标准（以下简称“三目录”）执行。</w:t>
      </w:r>
    </w:p>
    <w:p w14:paraId="48022CE1">
      <w:pPr>
        <w:pStyle w:val="7"/>
        <w:autoSpaceDE/>
        <w:autoSpaceDN/>
        <w:spacing w:before="94" w:line="600" w:lineRule="exact"/>
        <w:ind w:right="98" w:firstLine="680"/>
        <w:jc w:val="both"/>
        <w:rPr>
          <w:rFonts w:hint="eastAsia" w:ascii="FreeSerif" w:hAnsi="FreeSerif" w:cs="FreeSerif"/>
          <w:spacing w:val="20"/>
          <w:sz w:val="32"/>
          <w:szCs w:val="32"/>
          <w:lang w:val="en-US" w:eastAsia="zh-CN"/>
        </w:rPr>
      </w:pPr>
      <w:r>
        <w:rPr>
          <w:rFonts w:ascii="FreeSerif" w:hAnsi="FreeSerif" w:cs="FreeSerif"/>
          <w:b/>
          <w:bCs/>
          <w:spacing w:val="20"/>
          <w:sz w:val="32"/>
          <w:szCs w:val="32"/>
          <w:lang w:eastAsia="zh-CN"/>
        </w:rPr>
        <w:t>第三十六条</w:t>
      </w:r>
      <w:r>
        <w:rPr>
          <w:rFonts w:ascii="FreeSerif" w:hAnsi="FreeSerif" w:cs="FreeSerif"/>
          <w:spacing w:val="20"/>
          <w:sz w:val="32"/>
          <w:szCs w:val="32"/>
          <w:lang w:eastAsia="zh-CN"/>
        </w:rPr>
        <w:t xml:space="preserve"> </w:t>
      </w:r>
      <w:r>
        <w:rPr>
          <w:rFonts w:hint="eastAsia" w:ascii="FreeSerif" w:hAnsi="FreeSerif" w:cs="FreeSerif"/>
          <w:spacing w:val="20"/>
          <w:sz w:val="32"/>
          <w:szCs w:val="32"/>
          <w:lang w:val="en-US" w:eastAsia="zh-CN"/>
        </w:rPr>
        <w:t>在自治区范围内的协议医疗机构无治疗条件且因伤情需要转诊、转院到自治区外治疗的，经就诊的协议医疗机构提出转诊转院意见，由平台企业（平台服务机构）或者职业伤害人员（其近亲属）填写《职业伤害保障就医（康复）备案表》（附件13），到职业伤害确认地委托承办机构备案。未向委托承办机构备案的，原则上医疗费用不予支付。</w:t>
      </w:r>
    </w:p>
    <w:p w14:paraId="2F551858">
      <w:pPr>
        <w:pStyle w:val="7"/>
        <w:autoSpaceDE/>
        <w:autoSpaceDN/>
        <w:spacing w:before="94" w:line="600" w:lineRule="exact"/>
        <w:ind w:right="98" w:firstLine="680"/>
        <w:jc w:val="both"/>
        <w:rPr>
          <w:rFonts w:hint="eastAsia" w:ascii="FreeSerif" w:hAnsi="FreeSerif" w:cs="FreeSerif"/>
          <w:spacing w:val="20"/>
          <w:sz w:val="32"/>
          <w:szCs w:val="32"/>
          <w:lang w:val="en-US" w:eastAsia="zh-CN"/>
        </w:rPr>
      </w:pPr>
      <w:r>
        <w:rPr>
          <w:rFonts w:hint="eastAsia" w:ascii="FreeSerif" w:hAnsi="FreeSerif" w:cs="FreeSerif"/>
          <w:spacing w:val="20"/>
          <w:sz w:val="32"/>
          <w:szCs w:val="32"/>
          <w:lang w:val="en-US" w:eastAsia="zh-CN"/>
        </w:rPr>
        <w:t>新就业形态人员在自治区以外遭受职业伤害需要就地治疗的，应当优先选择当地的协议医疗机构治疗，伤情稳定后转回自治区内协议医疗机构继续治疗。</w:t>
      </w:r>
    </w:p>
    <w:p w14:paraId="7C81EC5A">
      <w:pPr>
        <w:pStyle w:val="7"/>
        <w:autoSpaceDE/>
        <w:autoSpaceDN/>
        <w:spacing w:before="94" w:line="600" w:lineRule="exact"/>
        <w:ind w:right="98" w:firstLine="680"/>
        <w:jc w:val="both"/>
        <w:rPr>
          <w:rFonts w:hint="eastAsia" w:ascii="FreeSerif" w:hAnsi="FreeSerif" w:cs="FreeSerif"/>
          <w:spacing w:val="20"/>
          <w:sz w:val="32"/>
          <w:szCs w:val="32"/>
          <w:lang w:val="en-US" w:eastAsia="zh-CN"/>
        </w:rPr>
      </w:pPr>
      <w:r>
        <w:rPr>
          <w:rFonts w:hint="eastAsia" w:ascii="FreeSerif" w:hAnsi="FreeSerif" w:cs="FreeSerif"/>
          <w:spacing w:val="20"/>
          <w:sz w:val="32"/>
          <w:szCs w:val="32"/>
          <w:lang w:val="en-US" w:eastAsia="zh-CN"/>
        </w:rPr>
        <w:t>治疗职业伤害所需费用符合自治区“三目录”规定的，从职业伤害保障支出科目列支，对超出“三目录”的相关费用不予支付。</w:t>
      </w:r>
    </w:p>
    <w:p w14:paraId="0A4B8DF5">
      <w:pPr>
        <w:pStyle w:val="7"/>
        <w:autoSpaceDE/>
        <w:autoSpaceDN/>
        <w:spacing w:before="94" w:line="600" w:lineRule="exact"/>
        <w:ind w:right="98" w:firstLine="680"/>
        <w:jc w:val="both"/>
        <w:rPr>
          <w:rFonts w:hint="eastAsia" w:ascii="FreeSerif" w:hAnsi="FreeSerif" w:cs="FreeSerif"/>
          <w:spacing w:val="20"/>
          <w:sz w:val="32"/>
          <w:szCs w:val="32"/>
          <w:lang w:val="en-US" w:eastAsia="zh-CN"/>
        </w:rPr>
      </w:pPr>
      <w:r>
        <w:rPr>
          <w:rFonts w:hint="eastAsia" w:ascii="FreeSerif" w:hAnsi="FreeSerif" w:cs="FreeSerif"/>
          <w:spacing w:val="20"/>
          <w:sz w:val="32"/>
          <w:szCs w:val="32"/>
          <w:lang w:val="en-US" w:eastAsia="zh-CN"/>
        </w:rPr>
        <w:t>对旧伤复发有争议的，由劳动能力鉴定委员会确认。</w:t>
      </w:r>
    </w:p>
    <w:p w14:paraId="77410D8F">
      <w:pPr>
        <w:pStyle w:val="7"/>
        <w:autoSpaceDE/>
        <w:autoSpaceDN/>
        <w:spacing w:before="251" w:line="600" w:lineRule="exact"/>
        <w:ind w:firstLine="670"/>
        <w:jc w:val="both"/>
        <w:rPr>
          <w:rFonts w:ascii="FreeSerif" w:hAnsi="FreeSerif" w:cs="FreeSerif"/>
          <w:sz w:val="32"/>
          <w:szCs w:val="32"/>
          <w:lang w:eastAsia="zh-CN"/>
        </w:rPr>
      </w:pPr>
      <w:r>
        <w:rPr>
          <w:rFonts w:ascii="FreeSerif" w:hAnsi="FreeSerif" w:cs="FreeSerif"/>
          <w:b/>
          <w:bCs/>
          <w:spacing w:val="26"/>
          <w:sz w:val="32"/>
          <w:szCs w:val="32"/>
          <w:lang w:eastAsia="zh-CN"/>
        </w:rPr>
        <w:t xml:space="preserve">第三十七条 </w:t>
      </w:r>
      <w:r>
        <w:rPr>
          <w:rFonts w:ascii="FreeSerif" w:hAnsi="FreeSerif" w:cs="FreeSerif"/>
          <w:spacing w:val="26"/>
          <w:sz w:val="32"/>
          <w:szCs w:val="32"/>
          <w:lang w:eastAsia="zh-CN"/>
        </w:rPr>
        <w:t>职业伤害人员经治疗伤情稳定、需要康复的（或康复期需要延长的），由</w:t>
      </w:r>
      <w:r>
        <w:rPr>
          <w:rFonts w:ascii="FreeSerif" w:hAnsi="FreeSerif" w:cs="FreeSerif"/>
          <w:spacing w:val="21"/>
          <w:sz w:val="32"/>
          <w:szCs w:val="32"/>
          <w:lang w:eastAsia="zh-CN"/>
        </w:rPr>
        <w:t>平台企业、职业伤害人员</w:t>
      </w:r>
      <w:r>
        <w:rPr>
          <w:rFonts w:hint="eastAsia" w:ascii="FreeSerif" w:hAnsi="FreeSerif" w:cs="FreeSerif"/>
          <w:spacing w:val="21"/>
          <w:sz w:val="32"/>
          <w:szCs w:val="32"/>
          <w:lang w:eastAsia="zh-CN"/>
        </w:rPr>
        <w:t>（</w:t>
      </w:r>
      <w:r>
        <w:rPr>
          <w:rFonts w:ascii="FreeSerif" w:hAnsi="FreeSerif" w:cs="FreeSerif"/>
          <w:spacing w:val="21"/>
          <w:sz w:val="32"/>
          <w:szCs w:val="32"/>
          <w:lang w:eastAsia="zh-CN"/>
        </w:rPr>
        <w:t>其近亲属</w:t>
      </w:r>
      <w:r>
        <w:rPr>
          <w:rFonts w:hint="eastAsia" w:ascii="FreeSerif" w:hAnsi="FreeSerif" w:cs="FreeSerif"/>
          <w:spacing w:val="21"/>
          <w:sz w:val="32"/>
          <w:szCs w:val="32"/>
          <w:lang w:eastAsia="zh-CN"/>
        </w:rPr>
        <w:t>）</w:t>
      </w:r>
      <w:r>
        <w:rPr>
          <w:rFonts w:hint="eastAsia" w:ascii="FreeSerif" w:hAnsi="FreeSerif" w:cs="FreeSerif"/>
          <w:spacing w:val="21"/>
          <w:sz w:val="32"/>
          <w:szCs w:val="32"/>
          <w:lang w:val="en-US" w:eastAsia="zh-CN"/>
        </w:rPr>
        <w:t>填写</w:t>
      </w:r>
      <w:r>
        <w:rPr>
          <w:rFonts w:ascii="FreeSerif" w:hAnsi="FreeSerif" w:cs="FreeSerif"/>
          <w:color w:val="auto"/>
          <w:spacing w:val="20"/>
          <w:sz w:val="32"/>
          <w:szCs w:val="32"/>
          <w:lang w:eastAsia="zh-CN"/>
        </w:rPr>
        <w:t>《职业伤害保障就医（康复）备案表》（附件13）</w:t>
      </w:r>
      <w:r>
        <w:rPr>
          <w:rFonts w:hint="eastAsia" w:ascii="FreeSerif" w:hAnsi="FreeSerif" w:cs="FreeSerif"/>
          <w:color w:val="auto"/>
          <w:spacing w:val="20"/>
          <w:sz w:val="32"/>
          <w:szCs w:val="32"/>
          <w:lang w:eastAsia="zh-CN"/>
        </w:rPr>
        <w:t>，</w:t>
      </w:r>
      <w:r>
        <w:rPr>
          <w:rFonts w:ascii="FreeSerif" w:hAnsi="FreeSerif" w:cs="FreeSerif"/>
          <w:spacing w:val="26"/>
          <w:sz w:val="32"/>
          <w:szCs w:val="32"/>
          <w:lang w:eastAsia="zh-CN"/>
        </w:rPr>
        <w:t>并提供</w:t>
      </w:r>
      <w:r>
        <w:rPr>
          <w:rFonts w:hint="eastAsia" w:ascii="FreeSerif" w:hAnsi="FreeSerif" w:cs="FreeSerif"/>
          <w:spacing w:val="26"/>
          <w:sz w:val="32"/>
          <w:szCs w:val="32"/>
          <w:lang w:val="en-US" w:eastAsia="zh-CN"/>
        </w:rPr>
        <w:t>协议康复机构出具的</w:t>
      </w:r>
      <w:r>
        <w:rPr>
          <w:rFonts w:ascii="FreeSerif" w:hAnsi="FreeSerif" w:cs="FreeSerif"/>
          <w:color w:val="auto"/>
          <w:spacing w:val="21"/>
          <w:sz w:val="32"/>
          <w:szCs w:val="32"/>
          <w:lang w:eastAsia="zh-CN"/>
        </w:rPr>
        <w:t>《职业伤害保障康复治疗计划》（附件15）</w:t>
      </w:r>
      <w:r>
        <w:rPr>
          <w:rFonts w:ascii="FreeSerif" w:hAnsi="FreeSerif" w:cs="FreeSerif"/>
          <w:spacing w:val="26"/>
          <w:sz w:val="32"/>
          <w:szCs w:val="32"/>
          <w:lang w:eastAsia="zh-CN"/>
        </w:rPr>
        <w:t>，</w:t>
      </w:r>
      <w:r>
        <w:rPr>
          <w:rFonts w:hint="eastAsia" w:ascii="FreeSerif" w:hAnsi="FreeSerif" w:cs="FreeSerif"/>
          <w:spacing w:val="26"/>
          <w:sz w:val="32"/>
          <w:szCs w:val="32"/>
          <w:lang w:val="en-US" w:eastAsia="zh-CN"/>
        </w:rPr>
        <w:t>报职业伤害确认地</w:t>
      </w:r>
      <w:r>
        <w:rPr>
          <w:rFonts w:ascii="FreeSerif" w:hAnsi="FreeSerif" w:cs="FreeSerif"/>
          <w:spacing w:val="26"/>
          <w:sz w:val="32"/>
          <w:szCs w:val="32"/>
          <w:lang w:eastAsia="zh-CN"/>
        </w:rPr>
        <w:t>委托承办机构备案</w:t>
      </w:r>
      <w:r>
        <w:rPr>
          <w:rFonts w:hint="eastAsia" w:ascii="FreeSerif" w:hAnsi="FreeSerif" w:cs="FreeSerif"/>
          <w:spacing w:val="26"/>
          <w:sz w:val="32"/>
          <w:szCs w:val="32"/>
          <w:lang w:val="en-US" w:eastAsia="zh-CN"/>
        </w:rPr>
        <w:t>后</w:t>
      </w:r>
      <w:r>
        <w:rPr>
          <w:rFonts w:ascii="FreeSerif" w:hAnsi="FreeSerif" w:cs="FreeSerif"/>
          <w:spacing w:val="26"/>
          <w:sz w:val="32"/>
          <w:szCs w:val="32"/>
          <w:lang w:eastAsia="zh-CN"/>
        </w:rPr>
        <w:t>，到工伤保险康复服务协议机构进行康复治疗。</w:t>
      </w:r>
      <w:r>
        <w:rPr>
          <w:rFonts w:ascii="FreeSerif" w:hAnsi="FreeSerif" w:cs="FreeSerif"/>
          <w:color w:val="auto"/>
          <w:spacing w:val="21"/>
          <w:sz w:val="32"/>
          <w:szCs w:val="32"/>
          <w:lang w:eastAsia="zh-CN"/>
        </w:rPr>
        <w:t>职业伤害康复按照国家和自治区工</w:t>
      </w:r>
      <w:r>
        <w:rPr>
          <w:rFonts w:ascii="FreeSerif" w:hAnsi="FreeSerif" w:cs="FreeSerif"/>
          <w:spacing w:val="21"/>
          <w:sz w:val="32"/>
          <w:szCs w:val="32"/>
          <w:lang w:eastAsia="zh-CN"/>
        </w:rPr>
        <w:t>伤保险</w:t>
      </w:r>
      <w:r>
        <w:rPr>
          <w:rFonts w:ascii="FreeSerif" w:hAnsi="FreeSerif" w:eastAsia="方正仿宋_GB2312" w:cs="FreeSerif"/>
          <w:spacing w:val="21"/>
          <w:sz w:val="32"/>
          <w:szCs w:val="32"/>
          <w:lang w:eastAsia="zh-CN"/>
        </w:rPr>
        <w:t>康复服务规范的规定</w:t>
      </w:r>
      <w:r>
        <w:rPr>
          <w:rFonts w:ascii="FreeSerif" w:hAnsi="FreeSerif" w:eastAsia="方正仿宋_GB2312" w:cs="FreeSerif"/>
          <w:spacing w:val="10"/>
          <w:sz w:val="32"/>
          <w:szCs w:val="32"/>
          <w:lang w:eastAsia="zh-CN"/>
        </w:rPr>
        <w:t>执行。</w:t>
      </w:r>
    </w:p>
    <w:p w14:paraId="35FA1469">
      <w:pPr>
        <w:spacing w:line="600" w:lineRule="exact"/>
        <w:ind w:firstLine="723" w:firstLineChars="200"/>
        <w:rPr>
          <w:rFonts w:ascii="FreeSerif" w:hAnsi="FreeSerif" w:eastAsia="仿宋" w:cs="FreeSerif"/>
          <w:spacing w:val="22"/>
          <w:sz w:val="32"/>
          <w:szCs w:val="32"/>
        </w:rPr>
      </w:pPr>
      <w:r>
        <w:rPr>
          <w:rFonts w:ascii="FreeSerif" w:hAnsi="FreeSerif" w:eastAsia="仿宋" w:cs="FreeSerif"/>
          <w:b/>
          <w:bCs/>
          <w:spacing w:val="20"/>
          <w:sz w:val="32"/>
          <w:szCs w:val="32"/>
        </w:rPr>
        <w:t xml:space="preserve">第三十八条 </w:t>
      </w:r>
      <w:r>
        <w:rPr>
          <w:rFonts w:ascii="FreeSerif" w:hAnsi="FreeSerif" w:eastAsia="仿宋" w:cs="FreeSerif"/>
          <w:spacing w:val="20"/>
          <w:sz w:val="32"/>
          <w:szCs w:val="32"/>
        </w:rPr>
        <w:t>职业伤害人员因日常生活或者就业需要，经劳</w:t>
      </w:r>
      <w:r>
        <w:rPr>
          <w:rFonts w:ascii="FreeSerif" w:hAnsi="FreeSerif" w:eastAsia="仿宋" w:cs="FreeSerif"/>
          <w:spacing w:val="21"/>
          <w:sz w:val="32"/>
          <w:szCs w:val="32"/>
        </w:rPr>
        <w:t>动能力鉴定委员会确认，应当到工伤保险辅助器</w:t>
      </w:r>
      <w:r>
        <w:rPr>
          <w:rFonts w:ascii="FreeSerif" w:hAnsi="FreeSerif" w:eastAsia="仿宋" w:cs="FreeSerif"/>
          <w:spacing w:val="22"/>
          <w:sz w:val="32"/>
          <w:szCs w:val="32"/>
        </w:rPr>
        <w:t>具配置服务协议机构安装假肢、矫形器、假眼、</w:t>
      </w:r>
      <w:r>
        <w:rPr>
          <w:rFonts w:ascii="FreeSerif" w:hAnsi="FreeSerif" w:eastAsia="仿宋" w:cs="FreeSerif"/>
          <w:spacing w:val="21"/>
          <w:sz w:val="32"/>
          <w:szCs w:val="32"/>
        </w:rPr>
        <w:t>假牙</w:t>
      </w:r>
      <w:r>
        <w:rPr>
          <w:rFonts w:ascii="FreeSerif" w:hAnsi="FreeSerif" w:eastAsia="仿宋" w:cs="FreeSerif"/>
          <w:spacing w:val="22"/>
          <w:sz w:val="32"/>
          <w:szCs w:val="32"/>
        </w:rPr>
        <w:t>和配置轮椅等辅助器具。</w:t>
      </w:r>
    </w:p>
    <w:p w14:paraId="13438FB9">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职业伤害人员需配置（更换）辅助器具的，由平台企业（平台服务机构）或者职业伤害人员（其近亲属）填写《职业伤害人员配置（更换）辅助器具申请表》</w:t>
      </w:r>
      <w:r>
        <w:rPr>
          <w:rFonts w:ascii="FreeSerif" w:hAnsi="FreeSerif" w:eastAsia="仿宋" w:cs="FreeSerif"/>
          <w:spacing w:val="20"/>
          <w:sz w:val="32"/>
          <w:szCs w:val="32"/>
        </w:rPr>
        <w:t>（附件14），报</w:t>
      </w:r>
      <w:r>
        <w:rPr>
          <w:rFonts w:ascii="FreeSerif" w:hAnsi="FreeSerif" w:eastAsia="仿宋" w:cs="FreeSerif"/>
          <w:spacing w:val="21"/>
          <w:sz w:val="32"/>
          <w:szCs w:val="32"/>
        </w:rPr>
        <w:t>职业伤害确认地委托承办机构审核备案后，到工伤保险辅助器具配置服务协议机构配置（更换）。</w:t>
      </w:r>
    </w:p>
    <w:p w14:paraId="024129AC">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辅助器具配置（更换）按照《内蒙古自治区工伤保险辅助器具配置目录》的项目和标准执行。</w:t>
      </w:r>
    </w:p>
    <w:p w14:paraId="47835FD3">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第三十九条</w:t>
      </w:r>
      <w:r>
        <w:rPr>
          <w:rFonts w:ascii="FreeSerif" w:hAnsi="FreeSerif" w:eastAsia="仿宋" w:cs="FreeSerif"/>
          <w:spacing w:val="21"/>
          <w:sz w:val="32"/>
          <w:szCs w:val="32"/>
        </w:rPr>
        <w:t xml:space="preserve">  新就业形态人员发生伤害，经确认为职业伤害后，其职业伤害医疗费、康复费、辅助器具配置费申报按照以下方式办理：</w:t>
      </w:r>
    </w:p>
    <w:p w14:paraId="01ED1D88">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（一）已实现工伤医疗费联网结算的，遭受职业伤害的新就业形态人员持社会保障卡直接联网结算（涉及第三人责任的除外）。</w:t>
      </w:r>
    </w:p>
    <w:p w14:paraId="68DE5EFD">
      <w:pPr>
        <w:spacing w:line="600" w:lineRule="exact"/>
        <w:ind w:firstLine="724" w:firstLineChars="200"/>
        <w:rPr>
          <w:rFonts w:hint="default" w:ascii="FreeSerif" w:hAnsi="FreeSerif" w:eastAsia="仿宋" w:cs="FreeSerif"/>
          <w:spacing w:val="21"/>
          <w:sz w:val="32"/>
          <w:szCs w:val="32"/>
          <w:lang w:val="en-US" w:eastAsia="zh-CN"/>
        </w:rPr>
      </w:pPr>
      <w:r>
        <w:rPr>
          <w:rFonts w:ascii="FreeSerif" w:hAnsi="FreeSerif" w:eastAsia="仿宋" w:cs="FreeSerif"/>
          <w:spacing w:val="21"/>
          <w:sz w:val="32"/>
          <w:szCs w:val="32"/>
        </w:rPr>
        <w:t>（二）暂未实现工伤医疗费联网结算的，新就业形态人员及其近亲属或者平台企业应当到职业伤害确认地委托承办机构申领职业伤害医疗费、康复费、辅助器具配置费等相关待遇</w:t>
      </w:r>
      <w:r>
        <w:rPr>
          <w:rFonts w:hint="eastAsia" w:ascii="FreeSerif" w:hAnsi="FreeSerif" w:eastAsia="仿宋" w:cs="FreeSerif"/>
          <w:spacing w:val="21"/>
          <w:sz w:val="32"/>
          <w:szCs w:val="32"/>
          <w:lang w:eastAsia="zh-CN"/>
        </w:rPr>
        <w:t>，</w:t>
      </w:r>
      <w:r>
        <w:rPr>
          <w:rFonts w:hint="eastAsia" w:ascii="FreeSerif" w:hAnsi="FreeSerif" w:eastAsia="仿宋" w:cs="FreeSerif"/>
          <w:spacing w:val="21"/>
          <w:sz w:val="32"/>
          <w:szCs w:val="32"/>
          <w:lang w:val="en-US" w:eastAsia="zh-CN"/>
        </w:rPr>
        <w:t>并提供下列材料：</w:t>
      </w:r>
    </w:p>
    <w:p w14:paraId="64ADBE4C">
      <w:pPr>
        <w:spacing w:line="600" w:lineRule="exact"/>
        <w:ind w:firstLine="724" w:firstLineChars="200"/>
        <w:rPr>
          <w:rFonts w:hint="eastAsia" w:ascii="FreeSerif" w:hAnsi="FreeSerif" w:eastAsia="仿宋" w:cs="FreeSerif"/>
          <w:spacing w:val="21"/>
          <w:sz w:val="32"/>
          <w:szCs w:val="32"/>
          <w:lang w:eastAsia="zh-CN"/>
        </w:rPr>
      </w:pPr>
      <w:r>
        <w:rPr>
          <w:rFonts w:ascii="FreeSerif" w:hAnsi="FreeSerif" w:eastAsia="仿宋" w:cs="FreeSerif"/>
          <w:spacing w:val="21"/>
          <w:sz w:val="32"/>
          <w:szCs w:val="32"/>
        </w:rPr>
        <w:t>1.申报职业伤害医疗、康复费用的，提供《职业伤害保障就医（康复）备案表》（附件13）、《职业伤害保障康复治疗计划》（附件15）、医疗机构收费票据、费用清单、诊断证明、病历资料</w:t>
      </w:r>
      <w:r>
        <w:rPr>
          <w:rFonts w:hint="eastAsia" w:ascii="FreeSerif" w:hAnsi="FreeSerif" w:eastAsia="仿宋" w:cs="FreeSerif"/>
          <w:spacing w:val="21"/>
          <w:sz w:val="32"/>
          <w:szCs w:val="32"/>
          <w:lang w:eastAsia="zh-CN"/>
        </w:rPr>
        <w:t>；</w:t>
      </w:r>
    </w:p>
    <w:p w14:paraId="2797EBB2">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2.申报职业伤害辅助器具配置费的，提供《职业伤害保障配置（更换）辅助器具备案表》（附件14）、辅助器具配置收费凭证、费用清单、配置辅助器具签收单、职业伤害人员签字确认的配置服务记录。</w:t>
      </w:r>
    </w:p>
    <w:p w14:paraId="5F68A85F">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（三）涉及第三人责任的职业伤害医疗费申报，除提供上述规定的材料外，还应按下列情形提供相关材料：</w:t>
      </w:r>
    </w:p>
    <w:p w14:paraId="3A2A489E">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1. 属于交通事故或者城市轨道交通、客运轮渡、火车事故的，需提供相关的事故责任认定书、事故民事赔偿调解书或仲裁裁决书；</w:t>
      </w:r>
    </w:p>
    <w:p w14:paraId="04989197">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2. 属于遭受暴力伤害的，需提供公安机关出具的遭受暴力伤害证明和赔偿证明资料；</w:t>
      </w:r>
    </w:p>
    <w:p w14:paraId="42A02903">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3. 经人民法院判决或者调解的，需提供民事判决书或者民事调解书等资料。</w:t>
      </w:r>
    </w:p>
    <w:p w14:paraId="20E458EB">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委托承办机构根据民事伤害赔偿法律文书确定的医疗费与职业伤害待遇中的医疗费比较，不足部分予以补足，职业伤害医疗费不得重复享受。未确定赔偿比例或第三人支付的医疗费用金额不明确的，委托承办机构可以要求职业伤害人员提供其他辅助材料以明确医疗费用分割情况。</w:t>
      </w:r>
    </w:p>
    <w:p w14:paraId="11AE6C84">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第四十条</w:t>
      </w:r>
      <w:r>
        <w:rPr>
          <w:rFonts w:ascii="FreeSerif" w:hAnsi="FreeSerif" w:eastAsia="仿宋" w:cs="FreeSerif"/>
          <w:spacing w:val="21"/>
          <w:sz w:val="32"/>
          <w:szCs w:val="32"/>
        </w:rPr>
        <w:t xml:space="preserve"> 申请人对鉴定结论无异议的，向委托承办机构申请相关待遇，待遇计发基数为上年度自治区城镇私营单位就业人员月平均工资的60%：</w:t>
      </w:r>
    </w:p>
    <w:p w14:paraId="50CB3D7B">
      <w:pPr>
        <w:shd w:val="clear" w:color="auto" w:fill="FFFFFF"/>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（一）生活不能自理的，经劳动能力鉴定委员会确认的生活护理费，按月发放。分为生活完全不能自理、生活大部分不能自理或者生活部分不能自理3个不同等级支付，其标准分别为待遇计发基数的50%、40%和30%;</w:t>
      </w:r>
    </w:p>
    <w:p w14:paraId="6F2318D1">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二）一次性伤残补助金。计发月数分别为：一级伤残为27个月，二级伤残为25个月，三级伤残为23个月，四级伤残为21个月，五级伤残为18个月，六级伤残为16个月，七级伤残为13个月，八级伤残为11个月，九级伤残为9个月，十级伤残为7个月；</w:t>
      </w:r>
    </w:p>
    <w:p w14:paraId="43041672">
      <w:pPr>
        <w:shd w:val="clear" w:color="auto" w:fill="FFFFFF"/>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（三）一级至四级伤残人员伤残津贴。标准分别为待遇计发基数的90%、85%、80%和75%；</w:t>
      </w:r>
    </w:p>
    <w:p w14:paraId="3C7DECFD">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（四）五级、六级伤残人员一次性津贴。计发月数分别为五级伤残30个月，六级伤残25个月。</w:t>
      </w:r>
    </w:p>
    <w:p w14:paraId="5D70AEA8">
      <w:pPr>
        <w:shd w:val="clear" w:color="auto" w:fill="FFFFFF"/>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第四十一条</w:t>
      </w:r>
      <w:r>
        <w:rPr>
          <w:rFonts w:ascii="FreeSerif" w:hAnsi="FreeSerif" w:eastAsia="仿宋" w:cs="FreeSerif"/>
          <w:spacing w:val="21"/>
          <w:sz w:val="32"/>
          <w:szCs w:val="32"/>
        </w:rPr>
        <w:t xml:space="preserve">  新就业形态人员因职业伤害死亡的，</w:t>
      </w:r>
      <w:r>
        <w:rPr>
          <w:rFonts w:ascii="FreeSerif" w:hAnsi="FreeSerif" w:eastAsia="仿宋" w:cs="FreeSerif"/>
          <w:spacing w:val="20"/>
          <w:sz w:val="32"/>
          <w:szCs w:val="32"/>
        </w:rPr>
        <w:t>平台企业或者职业伤害死亡人员近亲属</w:t>
      </w:r>
      <w:r>
        <w:rPr>
          <w:rFonts w:ascii="FreeSerif" w:hAnsi="FreeSerif" w:eastAsia="仿宋" w:cs="FreeSerif"/>
          <w:spacing w:val="21"/>
          <w:sz w:val="32"/>
          <w:szCs w:val="32"/>
        </w:rPr>
        <w:t>向委托承办机构申请死亡待遇，标准为：</w:t>
      </w:r>
    </w:p>
    <w:p w14:paraId="30422AA4">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（一）丧葬补助金计发基数为上年度自治区城镇私营单位就业人员月平均工资的60%，计发月数为6个月；</w:t>
      </w:r>
    </w:p>
    <w:p w14:paraId="67034D99">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二）供养亲属抚恤金计发基数为上年度自治区城镇私营单位就业人员月平均工资的60%，按照一定比例发给由因职业伤害死亡人员生前提供主要生活来源、无劳动能力的亲属。标准为：配偶每月40%，其他亲属每人每月30%，孤寡老人或者孤儿每人每月在上述标准的基础上增加10%。核定的各供养亲属的抚恤金之和不应高于上年度自治区城镇私营单位就业人员月平均工资的60%；</w:t>
      </w:r>
    </w:p>
    <w:p w14:paraId="5013177B">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（三）一次性职业伤害死亡补助金标准为上一年度全国城镇居民人均可支配收入的20倍。</w:t>
      </w:r>
    </w:p>
    <w:p w14:paraId="65798810">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新就业形态人员在治疗职业伤害期内因职业伤害导致死亡的，其近亲属享受本条第一款规定的待遇。</w:t>
      </w:r>
    </w:p>
    <w:p w14:paraId="43CE333D">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一级至四级伤残人员在治疗职业伤害期满后死亡的，其近亲属可以享受本条第一款第（一）项、第（二）项规定的待遇。</w:t>
      </w:r>
    </w:p>
    <w:p w14:paraId="3CC99BE6">
      <w:pPr>
        <w:spacing w:line="600" w:lineRule="exact"/>
        <w:ind w:firstLine="727" w:firstLineChars="200"/>
        <w:rPr>
          <w:rFonts w:ascii="FreeSerif" w:hAnsi="FreeSerif" w:eastAsia="仿宋" w:cs="FreeSerif"/>
          <w:bCs/>
          <w:spacing w:val="21"/>
          <w:sz w:val="32"/>
          <w:szCs w:val="32"/>
        </w:rPr>
      </w:pPr>
      <w:r>
        <w:rPr>
          <w:rFonts w:ascii="FreeSerif" w:hAnsi="FreeSerif" w:eastAsia="仿宋" w:cs="FreeSerif"/>
          <w:b/>
          <w:bCs/>
          <w:spacing w:val="21"/>
          <w:sz w:val="32"/>
          <w:szCs w:val="32"/>
        </w:rPr>
        <w:t>第四十二条</w:t>
      </w:r>
      <w:r>
        <w:rPr>
          <w:rFonts w:ascii="FreeSerif" w:hAnsi="FreeSerif" w:eastAsia="仿宋" w:cs="FreeSerif"/>
          <w:b/>
          <w:bCs/>
          <w:sz w:val="32"/>
          <w:szCs w:val="32"/>
        </w:rPr>
        <w:t xml:space="preserve"> </w:t>
      </w:r>
      <w:r>
        <w:rPr>
          <w:rFonts w:ascii="FreeSerif" w:hAnsi="FreeSerif" w:eastAsia="仿宋" w:cs="FreeSerif"/>
          <w:spacing w:val="20"/>
          <w:sz w:val="32"/>
          <w:szCs w:val="32"/>
        </w:rPr>
        <w:t>平台企业或者职业伤害人员（其近亲属）申请职业伤害保障伤残待遇，填写</w:t>
      </w:r>
      <w:r>
        <w:rPr>
          <w:rFonts w:ascii="FreeSerif" w:hAnsi="FreeSerif" w:eastAsia="仿宋" w:cs="FreeSerif"/>
          <w:spacing w:val="21"/>
          <w:sz w:val="32"/>
          <w:szCs w:val="32"/>
        </w:rPr>
        <w:t>《职业伤害保障伤残待遇申请表》（附件3），委托承办机构应当核定以下资料。</w:t>
      </w:r>
      <w:r>
        <w:rPr>
          <w:rFonts w:ascii="FreeSerif" w:hAnsi="FreeSerif" w:eastAsia="仿宋" w:cs="FreeSerif"/>
          <w:bCs/>
          <w:spacing w:val="21"/>
          <w:sz w:val="32"/>
          <w:szCs w:val="32"/>
        </w:rPr>
        <w:t xml:space="preserve"> </w:t>
      </w:r>
    </w:p>
    <w:p w14:paraId="3A67863F">
      <w:pPr>
        <w:spacing w:line="600" w:lineRule="exact"/>
        <w:ind w:firstLine="724" w:firstLineChars="200"/>
        <w:rPr>
          <w:rFonts w:ascii="FreeSerif" w:hAnsi="FreeSerif" w:eastAsia="仿宋" w:cs="FreeSerif"/>
          <w:bCs/>
          <w:sz w:val="32"/>
          <w:szCs w:val="32"/>
        </w:rPr>
      </w:pPr>
      <w:r>
        <w:rPr>
          <w:rFonts w:ascii="FreeSerif" w:hAnsi="FreeSerif" w:eastAsia="仿宋" w:cs="FreeSerif"/>
          <w:spacing w:val="21"/>
          <w:sz w:val="32"/>
          <w:szCs w:val="32"/>
        </w:rPr>
        <w:t>（一）</w:t>
      </w:r>
      <w:r>
        <w:rPr>
          <w:rFonts w:ascii="FreeSerif" w:hAnsi="FreeSerif" w:eastAsia="仿宋" w:cs="FreeSerif"/>
          <w:bCs/>
          <w:sz w:val="32"/>
          <w:szCs w:val="32"/>
        </w:rPr>
        <w:t>一次性伤残补助金和一次性津贴：</w:t>
      </w:r>
    </w:p>
    <w:p w14:paraId="04F4EC60">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1.职业伤害确认结论书；</w:t>
      </w:r>
    </w:p>
    <w:p w14:paraId="463BC958">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2.劳动能力鉴定结论书；</w:t>
      </w:r>
    </w:p>
    <w:p w14:paraId="750EC00D">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3.职业伤害人员有效身份证件；</w:t>
      </w:r>
    </w:p>
    <w:p w14:paraId="1A232C20">
      <w:pPr>
        <w:spacing w:line="600" w:lineRule="exact"/>
        <w:ind w:firstLine="724" w:firstLineChars="200"/>
        <w:rPr>
          <w:rFonts w:ascii="FreeSerif" w:hAnsi="FreeSerif" w:eastAsia="仿宋" w:cs="FreeSerif"/>
          <w:bCs/>
          <w:spacing w:val="21"/>
          <w:sz w:val="32"/>
          <w:szCs w:val="32"/>
        </w:rPr>
      </w:pPr>
      <w:r>
        <w:rPr>
          <w:rFonts w:ascii="FreeSerif" w:hAnsi="FreeSerif" w:eastAsia="仿宋" w:cs="FreeSerif"/>
          <w:spacing w:val="21"/>
          <w:sz w:val="32"/>
          <w:szCs w:val="32"/>
        </w:rPr>
        <w:t>4.</w:t>
      </w:r>
      <w:r>
        <w:rPr>
          <w:rFonts w:ascii="FreeSerif" w:hAnsi="FreeSerif" w:eastAsia="仿宋" w:cs="FreeSerif"/>
          <w:bCs/>
          <w:sz w:val="32"/>
          <w:szCs w:val="32"/>
        </w:rPr>
        <w:t>职业伤害人员待遇领取账号</w:t>
      </w:r>
      <w:r>
        <w:rPr>
          <w:rFonts w:ascii="FreeSerif" w:hAnsi="FreeSerif" w:eastAsia="仿宋" w:cs="FreeSerif"/>
          <w:sz w:val="32"/>
          <w:szCs w:val="32"/>
        </w:rPr>
        <w:t>（社会保障卡银行账号）</w:t>
      </w:r>
      <w:r>
        <w:rPr>
          <w:rFonts w:ascii="FreeSerif" w:hAnsi="FreeSerif" w:eastAsia="仿宋" w:cs="FreeSerif"/>
          <w:bCs/>
          <w:spacing w:val="21"/>
          <w:sz w:val="32"/>
          <w:szCs w:val="32"/>
        </w:rPr>
        <w:t>。</w:t>
      </w:r>
    </w:p>
    <w:p w14:paraId="13FB4690">
      <w:pPr>
        <w:spacing w:line="600" w:lineRule="exact"/>
        <w:ind w:firstLine="724" w:firstLineChars="200"/>
        <w:rPr>
          <w:rFonts w:ascii="FreeSerif" w:hAnsi="FreeSerif" w:eastAsia="仿宋" w:cs="FreeSerif"/>
          <w:bCs/>
          <w:spacing w:val="21"/>
          <w:sz w:val="32"/>
          <w:szCs w:val="32"/>
        </w:rPr>
      </w:pPr>
      <w:r>
        <w:rPr>
          <w:rFonts w:ascii="FreeSerif" w:hAnsi="FreeSerif" w:eastAsia="仿宋" w:cs="FreeSerif"/>
          <w:bCs/>
          <w:spacing w:val="21"/>
          <w:sz w:val="32"/>
          <w:szCs w:val="32"/>
        </w:rPr>
        <w:t>（二）生活护理费和伤残津贴：</w:t>
      </w:r>
    </w:p>
    <w:p w14:paraId="28FFC54F">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1.职业伤害确认结论书；</w:t>
      </w:r>
    </w:p>
    <w:p w14:paraId="70A44A4E">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2.劳动能力鉴定结论书；</w:t>
      </w:r>
    </w:p>
    <w:p w14:paraId="550039B9">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3.职业伤害人员有效身份证件；</w:t>
      </w:r>
    </w:p>
    <w:p w14:paraId="008BF71E">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4.职业伤害人员已领取职工基本养老金的，还需核定养老金发放证明（自治区外需提交）。</w:t>
      </w:r>
    </w:p>
    <w:p w14:paraId="26B2CCBD">
      <w:pPr>
        <w:spacing w:line="600" w:lineRule="exact"/>
        <w:ind w:firstLine="724" w:firstLineChars="200"/>
        <w:rPr>
          <w:rFonts w:ascii="FreeSerif" w:hAnsi="FreeSerif" w:eastAsia="仿宋" w:cs="FreeSerif"/>
          <w:b/>
          <w:bCs/>
          <w:spacing w:val="21"/>
          <w:sz w:val="32"/>
          <w:szCs w:val="32"/>
        </w:rPr>
      </w:pPr>
      <w:r>
        <w:rPr>
          <w:rFonts w:ascii="FreeSerif" w:hAnsi="FreeSerif" w:eastAsia="仿宋" w:cs="FreeSerif"/>
          <w:spacing w:val="21"/>
          <w:sz w:val="32"/>
          <w:szCs w:val="32"/>
        </w:rPr>
        <w:t>能通过自治区级集中系统获取的资料，申请人无需提交。</w:t>
      </w:r>
    </w:p>
    <w:p w14:paraId="587C6AA5">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第四十三条</w:t>
      </w:r>
      <w:r>
        <w:rPr>
          <w:rFonts w:ascii="FreeSerif" w:hAnsi="FreeSerif" w:eastAsia="仿宋" w:cs="FreeSerif"/>
          <w:b/>
          <w:bCs/>
          <w:sz w:val="32"/>
          <w:szCs w:val="32"/>
        </w:rPr>
        <w:t xml:space="preserve"> </w:t>
      </w:r>
      <w:r>
        <w:rPr>
          <w:rFonts w:ascii="FreeSerif" w:hAnsi="FreeSerif" w:eastAsia="仿宋" w:cs="FreeSerif"/>
          <w:spacing w:val="20"/>
          <w:sz w:val="32"/>
          <w:szCs w:val="32"/>
        </w:rPr>
        <w:t>平台企业或者职业伤害人员（其近亲属）申请</w:t>
      </w:r>
      <w:r>
        <w:rPr>
          <w:rFonts w:ascii="FreeSerif" w:hAnsi="FreeSerif" w:eastAsia="仿宋" w:cs="FreeSerif"/>
          <w:spacing w:val="21"/>
          <w:sz w:val="32"/>
          <w:szCs w:val="32"/>
        </w:rPr>
        <w:t>职业伤害保障死亡待遇，填写《职业伤害保障死亡待遇申请表》（附件4），委托承办机构应当核定以下资料。</w:t>
      </w:r>
    </w:p>
    <w:p w14:paraId="35D10783">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（一）一次性职业伤害死亡补助金和丧葬补助金：</w:t>
      </w:r>
    </w:p>
    <w:p w14:paraId="3D1F81AC">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1.职业伤害确认结论书；</w:t>
      </w:r>
    </w:p>
    <w:p w14:paraId="05F98E9E">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2.申请人有效身份证件及与职业伤害死亡人员关系证明；</w:t>
      </w:r>
    </w:p>
    <w:p w14:paraId="63EE14DF">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3.居民死亡医学证明（推断）书或公安机关出具的死亡证明；</w:t>
      </w:r>
    </w:p>
    <w:p w14:paraId="0F837965">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4.职业伤害死亡人员待遇领取账号（社会保障卡银行账号）。</w:t>
      </w:r>
    </w:p>
    <w:p w14:paraId="2DD177C8">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（二）供养亲属抚恤金：</w:t>
      </w:r>
    </w:p>
    <w:p w14:paraId="00B0A165">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1.申请供养亲属人员与职业伤害死亡人员关系证明；</w:t>
      </w:r>
    </w:p>
    <w:p w14:paraId="29A5C085">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2.申请供养亲属人员的有效身份证件；</w:t>
      </w:r>
    </w:p>
    <w:p w14:paraId="7C144EB3">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3.完全丧失劳动能力的，还需核定劳动能力鉴定结论书；</w:t>
      </w:r>
    </w:p>
    <w:p w14:paraId="1143AA05">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4.申请供养亲属人员待遇领取账号；</w:t>
      </w:r>
    </w:p>
    <w:p w14:paraId="0B63485B">
      <w:pPr>
        <w:spacing w:line="600" w:lineRule="exact"/>
        <w:ind w:firstLine="640" w:firstLineChars="200"/>
        <w:rPr>
          <w:rFonts w:ascii="FreeSerif" w:hAnsi="FreeSerif" w:eastAsia="仿宋" w:cs="FreeSerif"/>
          <w:sz w:val="32"/>
          <w:szCs w:val="32"/>
        </w:rPr>
      </w:pPr>
      <w:r>
        <w:rPr>
          <w:rFonts w:ascii="FreeSerif" w:hAnsi="FreeSerif" w:eastAsia="仿宋" w:cs="FreeSerif"/>
          <w:sz w:val="32"/>
          <w:szCs w:val="32"/>
        </w:rPr>
        <w:t>5.</w:t>
      </w:r>
      <w:r>
        <w:rPr>
          <w:rFonts w:ascii="FreeSerif" w:hAnsi="FreeSerif" w:eastAsia="仿宋" w:cs="FreeSerif"/>
          <w:bCs/>
          <w:sz w:val="32"/>
          <w:szCs w:val="32"/>
        </w:rPr>
        <w:t>职业伤害死亡人员有遗腹子女的，还需核定出生医学证明。</w:t>
      </w:r>
    </w:p>
    <w:p w14:paraId="3E9AD5DE">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供养亲属范围和条件按照《因工死亡职工供养亲属范围规定》确定。</w:t>
      </w:r>
    </w:p>
    <w:p w14:paraId="479FABB8">
      <w:pPr>
        <w:spacing w:line="600" w:lineRule="exact"/>
        <w:ind w:firstLine="724" w:firstLineChars="200"/>
        <w:rPr>
          <w:rFonts w:ascii="FreeSerif" w:hAnsi="FreeSerif" w:eastAsia="仿宋" w:cs="FreeSerif"/>
          <w:spacing w:val="21"/>
          <w:sz w:val="32"/>
          <w:szCs w:val="32"/>
          <w:highlight w:val="yellow"/>
        </w:rPr>
      </w:pPr>
      <w:r>
        <w:rPr>
          <w:rFonts w:ascii="FreeSerif" w:hAnsi="FreeSerif" w:eastAsia="仿宋" w:cs="FreeSerif"/>
          <w:spacing w:val="21"/>
          <w:sz w:val="32"/>
          <w:szCs w:val="32"/>
        </w:rPr>
        <w:t>本条规定的资料，能通过自治区级集中系统获取的，申请人无需提交。</w:t>
      </w:r>
    </w:p>
    <w:p w14:paraId="347CA74A">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spacing w:val="21"/>
          <w:sz w:val="32"/>
          <w:szCs w:val="32"/>
        </w:rPr>
        <w:t xml:space="preserve">第四十四条 </w:t>
      </w:r>
      <w:r>
        <w:rPr>
          <w:rFonts w:ascii="FreeSerif" w:hAnsi="FreeSerif" w:eastAsia="仿宋" w:cs="FreeSerif"/>
          <w:spacing w:val="21"/>
          <w:sz w:val="32"/>
          <w:szCs w:val="32"/>
        </w:rPr>
        <w:t>职业伤害人员经劳动能力复查鉴定，结论发生变化的，自结论作出的次月起，重新核定伤残津贴和生活护理费，一次性伤残补助金和一次性津贴不再重新核定和退补。</w:t>
      </w:r>
    </w:p>
    <w:p w14:paraId="39BD8554">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第四十五条</w:t>
      </w:r>
      <w:r>
        <w:rPr>
          <w:rFonts w:ascii="FreeSerif" w:hAnsi="FreeSerif" w:eastAsia="仿宋" w:cs="FreeSerif"/>
          <w:spacing w:val="21"/>
          <w:sz w:val="32"/>
          <w:szCs w:val="32"/>
        </w:rPr>
        <w:t xml:space="preserve"> 长期待遇领取资格应当定期认证。未按规定认证的，委托承办机构暂停支付定期待遇；认证通过后符合继续领取资格的，按规定恢复相关待遇并补发暂停期间的待遇。</w:t>
      </w:r>
    </w:p>
    <w:p w14:paraId="3A1A8E9C">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第四十六条</w:t>
      </w:r>
      <w:r>
        <w:rPr>
          <w:rFonts w:ascii="FreeSerif" w:hAnsi="FreeSerif" w:eastAsia="仿宋" w:cs="FreeSerif"/>
          <w:spacing w:val="21"/>
          <w:sz w:val="32"/>
          <w:szCs w:val="32"/>
        </w:rPr>
        <w:t xml:space="preserve"> 委托承办机构应当将医疗待遇、康复待遇、辅助器具待遇、长期待遇、死亡待遇等相关信息，由自治区级集中系统实时推送全国信息平台。</w:t>
      </w:r>
    </w:p>
    <w:p w14:paraId="75F816B2">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委托承办机构应当按照委托承办协议约定的时限办理待遇支付业务。职业伤害确认地经办机构负责对超期业务进行跟踪督办。</w:t>
      </w:r>
    </w:p>
    <w:p w14:paraId="2826EF51">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第四十七条</w:t>
      </w:r>
      <w:r>
        <w:rPr>
          <w:rFonts w:ascii="FreeSerif" w:hAnsi="FreeSerif" w:eastAsia="仿宋" w:cs="FreeSerif"/>
          <w:spacing w:val="21"/>
          <w:sz w:val="32"/>
          <w:szCs w:val="32"/>
        </w:rPr>
        <w:t xml:space="preserve"> 一级至四级伤残新就业形态人员，符合领取基本养老金条件的，停发伤残津贴，按照国家有关规定享受基本养老保险待遇。基本养老保险待遇低于伤残津贴的，由工伤保险基金补足差额；不符合领取基本养老金条件的，由工伤保险基金继续按月发放伤残津贴。</w:t>
      </w:r>
    </w:p>
    <w:p w14:paraId="0CA84BFE">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第四十八条</w:t>
      </w:r>
      <w:r>
        <w:rPr>
          <w:rFonts w:ascii="FreeSerif" w:hAnsi="FreeSerif" w:eastAsia="仿宋" w:cs="FreeSerif"/>
          <w:spacing w:val="21"/>
          <w:sz w:val="32"/>
          <w:szCs w:val="32"/>
        </w:rPr>
        <w:t xml:space="preserve"> 职业伤害人员需要暂停工作接受职业伤害医疗救治的，在治疗职业伤害期内，由所在平台企业支付生活保障费。生活保障费的计发标准为事故伤害发生时当地正在执行的城市居民月最低生活保障标准，可按职业伤害治疗期的实际天数折算。职业伤害人员在劳动能力鉴定结论作出次月起，不再享受生活保障费，仍需治疗的按规定享受医疗待遇。</w:t>
      </w:r>
    </w:p>
    <w:p w14:paraId="413C89BC">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治疗职业伤害期一般不超过12个月。伤情严重或者情况特殊的，经职业伤害确认地劳动能力鉴定委员会确认，可以适当延长，但延长时间不得超过12个月。</w:t>
      </w:r>
    </w:p>
    <w:p w14:paraId="4A35DAD6">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生活不能自理的职业伤害人员在治疗职业伤害期内需要护理的，由所在平台企业负责。</w:t>
      </w:r>
    </w:p>
    <w:p w14:paraId="14CAD3D7">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平台企业可以另外通过购买人身意外、雇主责任等商业保险，切实保障新就业形态人员的生活保障费和生命财产安全。</w:t>
      </w:r>
    </w:p>
    <w:p w14:paraId="55BAFBDB">
      <w:pPr>
        <w:spacing w:line="600" w:lineRule="exact"/>
        <w:ind w:firstLine="724" w:firstLineChars="200"/>
        <w:rPr>
          <w:rFonts w:ascii="FreeSerif" w:hAnsi="FreeSerif" w:eastAsia="方正仿宋_GB2312" w:cs="FreeSerif"/>
          <w:spacing w:val="21"/>
          <w:sz w:val="32"/>
          <w:szCs w:val="32"/>
        </w:rPr>
      </w:pPr>
    </w:p>
    <w:p w14:paraId="17859BA6">
      <w:pPr>
        <w:spacing w:line="600" w:lineRule="exact"/>
        <w:ind w:firstLine="680"/>
        <w:jc w:val="center"/>
        <w:rPr>
          <w:rFonts w:ascii="FreeSerif" w:hAnsi="FreeSerif" w:eastAsia="方正仿宋_GB2312" w:cs="FreeSerif"/>
          <w:spacing w:val="21"/>
          <w:sz w:val="32"/>
          <w:szCs w:val="32"/>
        </w:rPr>
      </w:pPr>
      <w:r>
        <w:rPr>
          <w:rFonts w:ascii="FreeSerif" w:hAnsi="FreeSerif" w:eastAsia="黑体" w:cs="FreeSerif"/>
          <w:spacing w:val="21"/>
          <w:sz w:val="32"/>
          <w:szCs w:val="32"/>
        </w:rPr>
        <w:t>第六章 资金管理</w:t>
      </w:r>
    </w:p>
    <w:p w14:paraId="311CAA7C">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第四十九条 </w:t>
      </w:r>
      <w:r>
        <w:rPr>
          <w:rFonts w:ascii="FreeSerif" w:hAnsi="FreeSerif" w:eastAsia="仿宋" w:cs="FreeSerif"/>
          <w:spacing w:val="21"/>
          <w:sz w:val="32"/>
          <w:szCs w:val="32"/>
        </w:rPr>
        <w:t>职业伤害保障资金存入自治区社会保障基金财政专户。自治区级经办机构应当按照《财政部人力资源社会保障部 国家卫生计生委关于印发〈社会保险基金财务制度〉的通知》（财社〔2017〕144号）和《财政部关于印发〈社会保险基金会计制度〉的通知》（财会〔2017〕28号）的规定，与财政部门、税务机关共同做好职业伤害保障资金管理。</w:t>
      </w:r>
    </w:p>
    <w:p w14:paraId="67FC700B">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第五十条 </w:t>
      </w:r>
      <w:r>
        <w:rPr>
          <w:rFonts w:ascii="FreeSerif" w:hAnsi="FreeSerif" w:eastAsia="仿宋" w:cs="FreeSerif"/>
          <w:spacing w:val="21"/>
          <w:sz w:val="32"/>
          <w:szCs w:val="32"/>
        </w:rPr>
        <w:t>平台企业缴纳的职业伤害保障费通过工伤保险基金职业伤害保障费收入科目核算。</w:t>
      </w:r>
    </w:p>
    <w:p w14:paraId="4D20839F">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第五十一条 </w:t>
      </w:r>
      <w:r>
        <w:rPr>
          <w:rFonts w:ascii="FreeSerif" w:hAnsi="FreeSerif" w:eastAsia="仿宋" w:cs="FreeSerif"/>
          <w:spacing w:val="21"/>
          <w:sz w:val="32"/>
          <w:szCs w:val="32"/>
        </w:rPr>
        <w:t>职业伤害的各项待遇支出、劳动能力鉴定费和委托承办服务费，从工伤保险基金中列支，通过工伤保险基金职业伤害保障支出类科目核算。</w:t>
      </w:r>
      <w:r>
        <w:rPr>
          <w:rFonts w:ascii="FreeSerif" w:hAnsi="FreeSerif" w:eastAsia="仿宋" w:cs="FreeSerif"/>
          <w:bCs/>
          <w:sz w:val="32"/>
          <w:szCs w:val="32"/>
        </w:rPr>
        <w:t>自治区</w:t>
      </w:r>
      <w:r>
        <w:rPr>
          <w:rFonts w:ascii="FreeSerif" w:hAnsi="FreeSerif" w:eastAsia="仿宋" w:cs="FreeSerif"/>
          <w:spacing w:val="21"/>
          <w:sz w:val="32"/>
          <w:szCs w:val="32"/>
        </w:rPr>
        <w:t>级经办机构业务部门应当对职业伤害保障资金支出业务增加明确标识，以便基金管理部门进行单独核算。业务部门与财务部门应当严格对账，确保账证相符、账账相符、账实相符。</w:t>
      </w:r>
    </w:p>
    <w:p w14:paraId="0E27CBEC">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第五十二条 </w:t>
      </w:r>
      <w:r>
        <w:rPr>
          <w:rFonts w:ascii="FreeSerif" w:hAnsi="FreeSerif" w:eastAsia="仿宋" w:cs="FreeSerif"/>
          <w:spacing w:val="21"/>
          <w:sz w:val="32"/>
          <w:szCs w:val="32"/>
        </w:rPr>
        <w:t>委托承办机构应开设职业伤害保障资金托管账户（以下简称资金托管账户），用于存放、支付职业伤害保障待遇的准备支付资金。实行专用存款账户管理，专账核算，专款专用，账户产生的利息计入职业伤害保障资金管理。</w:t>
      </w:r>
    </w:p>
    <w:p w14:paraId="490971CC">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第五十三条</w:t>
      </w:r>
      <w:r>
        <w:rPr>
          <w:rFonts w:ascii="FreeSerif" w:hAnsi="FreeSerif" w:eastAsia="仿宋" w:cs="FreeSerif"/>
          <w:spacing w:val="21"/>
          <w:sz w:val="32"/>
          <w:szCs w:val="32"/>
        </w:rPr>
        <w:t xml:space="preserve"> 首年承办时，自治区级经办机构按月提前将职业伤害保障准备支付资金拨付至资金托管账户。</w:t>
      </w:r>
    </w:p>
    <w:p w14:paraId="0C60311B">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第五十四条 </w:t>
      </w:r>
      <w:r>
        <w:rPr>
          <w:rFonts w:ascii="FreeSerif" w:hAnsi="FreeSerif" w:eastAsia="仿宋" w:cs="FreeSerif"/>
          <w:spacing w:val="21"/>
          <w:sz w:val="32"/>
          <w:szCs w:val="32"/>
        </w:rPr>
        <w:t>委托承办机构代发职业伤害保障医疗待遇、伤残待遇和工亡待遇，应当通过自治区集中系统将待遇发放数据推送至金融机构，进行待遇发放上账处理。发放不成功的，应及时查明原因并重新发放。</w:t>
      </w:r>
    </w:p>
    <w:p w14:paraId="5189F481">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第五十五条 </w:t>
      </w:r>
      <w:r>
        <w:rPr>
          <w:rFonts w:ascii="FreeSerif" w:hAnsi="FreeSerif" w:eastAsia="仿宋" w:cs="FreeSerif"/>
          <w:spacing w:val="21"/>
          <w:sz w:val="32"/>
          <w:szCs w:val="32"/>
        </w:rPr>
        <w:t>职业伤害保障准备支付资金按月结算，以每月15日为结算周期截止日。</w:t>
      </w:r>
    </w:p>
    <w:p w14:paraId="12EC961A">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第五十六条 </w:t>
      </w:r>
      <w:r>
        <w:rPr>
          <w:rFonts w:ascii="FreeSerif" w:hAnsi="FreeSerif" w:eastAsia="仿宋" w:cs="FreeSerif"/>
          <w:spacing w:val="21"/>
          <w:sz w:val="32"/>
          <w:szCs w:val="32"/>
        </w:rPr>
        <w:t>委托承办机构应于每月16日，向自治区级经办机构提供支付汇总表、支付明细数据以及当月15日托管账户银行对账单，核对本月支付情况。自治区级经办机构根据自治区集中系统的数据进行核对，发现不一致的，双方应查明原因并处理。</w:t>
      </w:r>
    </w:p>
    <w:p w14:paraId="084F177D">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第五十七条 </w:t>
      </w:r>
      <w:r>
        <w:rPr>
          <w:rFonts w:ascii="FreeSerif" w:hAnsi="FreeSerif" w:eastAsia="仿宋" w:cs="FreeSerif"/>
          <w:spacing w:val="21"/>
          <w:sz w:val="32"/>
          <w:szCs w:val="32"/>
        </w:rPr>
        <w:t>自治区级经办机构与委托承办机构核对一致后，生成本月职业伤害保障结算总表及代付结算明细表，并将代付结算明细表签章后通知自治区级经办机构，作为核算职业伤害保障待遇支出的依据。委托承办机构托管账户余额低于一个月支付额度的部分，作为本次结算后的资金划拨额。</w:t>
      </w:r>
    </w:p>
    <w:p w14:paraId="4FB5ECD8">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第五十八条 </w:t>
      </w:r>
      <w:r>
        <w:rPr>
          <w:rFonts w:ascii="FreeSerif" w:hAnsi="FreeSerif" w:eastAsia="仿宋" w:cs="FreeSerif"/>
          <w:spacing w:val="21"/>
          <w:sz w:val="32"/>
          <w:szCs w:val="32"/>
        </w:rPr>
        <w:t>自治区级经办机构按季度向财政部门报送季度用款需求，自治区级经办机构于次月10日前按基金支付审批权限，向委托承办机构划拨资金，补足用于代付职业伤害保障待遇的准备支付资金额度。</w:t>
      </w:r>
    </w:p>
    <w:p w14:paraId="042C1212">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第五十九条 </w:t>
      </w:r>
      <w:r>
        <w:rPr>
          <w:rFonts w:ascii="FreeSerif" w:hAnsi="FreeSerif" w:eastAsia="仿宋" w:cs="FreeSerif"/>
          <w:spacing w:val="21"/>
          <w:sz w:val="32"/>
          <w:szCs w:val="32"/>
        </w:rPr>
        <w:t>年度终了，托管资金账户原则上应原渠道退回剩余资金结余。</w:t>
      </w:r>
    </w:p>
    <w:p w14:paraId="19EC51C7">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自治区级经办机构在委托承办服务协议终止后，统一组织清算工作，根据委托承办机构代付的职业伤害保障待遇支出，实行差额清算。</w:t>
      </w:r>
    </w:p>
    <w:p w14:paraId="10120CBD">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第六十条 </w:t>
      </w:r>
      <w:r>
        <w:rPr>
          <w:rFonts w:ascii="FreeSerif" w:hAnsi="FreeSerif" w:eastAsia="仿宋" w:cs="FreeSerif"/>
          <w:spacing w:val="21"/>
          <w:sz w:val="32"/>
          <w:szCs w:val="32"/>
        </w:rPr>
        <w:t>自治区级经办机构向托管资金账户划拨准备支付资金时，按照实际支付的金额，借记“暂付款”，贷记“支出户存款”“财政专户存款”科目。</w:t>
      </w:r>
    </w:p>
    <w:p w14:paraId="3D1297E1">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自治区级经办机构根据按月核定的待遇支付汇总表，借记“社会保险待遇支出”，贷记“暂付款”科目。项目清算后，自治区级经办机构根据清算汇总表进行账务处理。</w:t>
      </w:r>
    </w:p>
    <w:p w14:paraId="34058ACE">
      <w:pPr>
        <w:spacing w:line="600" w:lineRule="exact"/>
        <w:ind w:firstLine="724" w:firstLineChars="200"/>
        <w:rPr>
          <w:rFonts w:ascii="FreeSerif" w:hAnsi="FreeSerif" w:eastAsia="方正仿宋_GB2312" w:cs="FreeSerif"/>
          <w:spacing w:val="21"/>
          <w:sz w:val="32"/>
          <w:szCs w:val="32"/>
        </w:rPr>
      </w:pPr>
    </w:p>
    <w:p w14:paraId="23677BC3">
      <w:pPr>
        <w:spacing w:line="600" w:lineRule="exact"/>
        <w:ind w:firstLine="724" w:firstLineChars="200"/>
        <w:jc w:val="center"/>
        <w:rPr>
          <w:rFonts w:ascii="FreeSerif" w:hAnsi="FreeSerif" w:eastAsia="黑体" w:cs="FreeSerif"/>
          <w:spacing w:val="21"/>
          <w:sz w:val="32"/>
          <w:szCs w:val="32"/>
        </w:rPr>
      </w:pPr>
      <w:r>
        <w:rPr>
          <w:rFonts w:ascii="FreeSerif" w:hAnsi="FreeSerif" w:eastAsia="黑体" w:cs="FreeSerif"/>
          <w:spacing w:val="21"/>
          <w:sz w:val="32"/>
          <w:szCs w:val="32"/>
        </w:rPr>
        <w:t>第七章 信息管理</w:t>
      </w:r>
    </w:p>
    <w:p w14:paraId="6D88B4D6">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第六十一条 </w:t>
      </w:r>
      <w:r>
        <w:rPr>
          <w:rFonts w:ascii="FreeSerif" w:hAnsi="FreeSerif" w:eastAsia="仿宋" w:cs="FreeSerif"/>
          <w:spacing w:val="21"/>
          <w:sz w:val="32"/>
          <w:szCs w:val="32"/>
        </w:rPr>
        <w:t>全区统一使用自治区集中系统办理职业伤害保障业务。自治区人社部门按照全国信息平台的技术要求，改造完善自治区集中系统，实现部省间业务协同和信息流转，并逐步实现与交通运输、商务、税务、市场监督管理等部门信息共享。</w:t>
      </w:r>
    </w:p>
    <w:p w14:paraId="127CC16C">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平台企业应当按照全国信息平台的技术要求改造信息系统，对接全国信息平台，并为新就业形态人员提供“一键报案”功能选择，按时全量准确报送职业伤害相关数据，实时接收全区实际办理业务情况，保证数据的时效性、完整性、规范性。</w:t>
      </w:r>
    </w:p>
    <w:p w14:paraId="01357A8B">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第六十二条 </w:t>
      </w:r>
      <w:r>
        <w:rPr>
          <w:rFonts w:ascii="FreeSerif" w:hAnsi="FreeSerif" w:eastAsia="仿宋" w:cs="FreeSerif"/>
          <w:spacing w:val="21"/>
          <w:sz w:val="32"/>
          <w:szCs w:val="32"/>
        </w:rPr>
        <w:t>人社部门、委托承办机构应推行社会保障卡（含电子社会保障卡）在职业伤害保障的应用，方便新就业形态人员持卡查询本人参保信息、办理职业伤害保障业务、领取职业伤害保障待遇，实现职业伤害医疗费、康复费、辅助器具配置费等持卡结算和职业伤害保障待遇通过社会保障卡进行社会化发放。</w:t>
      </w:r>
    </w:p>
    <w:p w14:paraId="51D01728">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第六十三条 </w:t>
      </w:r>
      <w:r>
        <w:rPr>
          <w:rFonts w:ascii="FreeSerif" w:hAnsi="FreeSerif" w:eastAsia="仿宋" w:cs="FreeSerif"/>
          <w:spacing w:val="21"/>
          <w:sz w:val="32"/>
          <w:szCs w:val="32"/>
        </w:rPr>
        <w:t>每月5日，自治区级经办机构将平台企业的参保登记信息、订单总量、缴费基准额和缴费标准浮动情况，以及接单人员基础信息和订单汇总信息等通过社税信息共享平台传递给自治区级税务机关，将参保登记、职业伤害确认、劳动能力鉴定、职业伤害待遇申领核付等全流程业务信息同步推送至全国信息平台。</w:t>
      </w:r>
    </w:p>
    <w:p w14:paraId="22B893F8">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自治区级税务机关应当及时将申报缴费信息通过社税信息共享平台回传给自治区级经办机构，由自治区级经办机构通过自治区集中系统同步推送至全国信息平台。</w:t>
      </w:r>
    </w:p>
    <w:p w14:paraId="5EE08449">
      <w:pPr>
        <w:spacing w:line="600" w:lineRule="exact"/>
        <w:ind w:firstLine="727" w:firstLineChars="200"/>
        <w:rPr>
          <w:rFonts w:ascii="FreeSerif" w:hAnsi="FreeSerif" w:eastAsia="方正仿宋_GB2312" w:cs="FreeSerif"/>
          <w:spacing w:val="21"/>
          <w:sz w:val="32"/>
          <w:szCs w:val="32"/>
        </w:rPr>
      </w:pPr>
      <w:r>
        <w:rPr>
          <w:rFonts w:ascii="FreeSerif" w:hAnsi="FreeSerif" w:eastAsia="仿宋" w:cs="FreeSerif"/>
          <w:b/>
          <w:bCs/>
          <w:spacing w:val="21"/>
          <w:sz w:val="32"/>
          <w:szCs w:val="32"/>
        </w:rPr>
        <w:t xml:space="preserve">第六十四条 </w:t>
      </w:r>
      <w:r>
        <w:rPr>
          <w:rFonts w:ascii="FreeSerif" w:hAnsi="FreeSerif" w:eastAsia="仿宋" w:cs="FreeSerif"/>
          <w:spacing w:val="21"/>
          <w:sz w:val="32"/>
          <w:szCs w:val="32"/>
        </w:rPr>
        <w:t>自治区级人社部门和税务机关均应当设立业务、系统对接人员，负责对接业务运行中遇到的问题，及时处理系统运行故障、异常问题排查、新增或变更系统业务功能需求等。</w:t>
      </w:r>
    </w:p>
    <w:p w14:paraId="57B37991">
      <w:pPr>
        <w:spacing w:line="600" w:lineRule="exact"/>
        <w:ind w:firstLine="724" w:firstLineChars="200"/>
        <w:rPr>
          <w:rFonts w:ascii="FreeSerif" w:hAnsi="FreeSerif" w:eastAsia="方正仿宋_GB2312" w:cs="FreeSerif"/>
          <w:spacing w:val="21"/>
          <w:sz w:val="32"/>
          <w:szCs w:val="32"/>
        </w:rPr>
      </w:pPr>
    </w:p>
    <w:p w14:paraId="2E5FF583">
      <w:pPr>
        <w:spacing w:line="600" w:lineRule="exact"/>
        <w:ind w:firstLine="724" w:firstLineChars="200"/>
        <w:jc w:val="center"/>
        <w:rPr>
          <w:rFonts w:ascii="FreeSerif" w:hAnsi="FreeSerif" w:eastAsia="方正仿宋_GB2312" w:cs="FreeSerif"/>
          <w:b/>
          <w:bCs/>
          <w:spacing w:val="21"/>
          <w:sz w:val="32"/>
          <w:szCs w:val="32"/>
        </w:rPr>
      </w:pPr>
      <w:r>
        <w:rPr>
          <w:rFonts w:ascii="FreeSerif" w:hAnsi="FreeSerif" w:eastAsia="黑体" w:cs="FreeSerif"/>
          <w:spacing w:val="21"/>
          <w:sz w:val="32"/>
          <w:szCs w:val="32"/>
        </w:rPr>
        <w:t>第八章 服务与监管</w:t>
      </w:r>
    </w:p>
    <w:p w14:paraId="25E632D8">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第六十五条 </w:t>
      </w:r>
      <w:r>
        <w:rPr>
          <w:rFonts w:ascii="FreeSerif" w:hAnsi="FreeSerif" w:eastAsia="仿宋" w:cs="FreeSerif"/>
          <w:spacing w:val="21"/>
          <w:sz w:val="32"/>
          <w:szCs w:val="32"/>
        </w:rPr>
        <w:t>自治区级人社部门通过公开招标的方式，委托商业保险机构办理职业伤害保障事务，商业保险机构协助做好职业伤害确认、组织劳动能力鉴定、待遇核定发放等。</w:t>
      </w:r>
    </w:p>
    <w:p w14:paraId="56DE69C0">
      <w:pPr>
        <w:spacing w:line="600" w:lineRule="exact"/>
        <w:ind w:firstLine="724" w:firstLineChars="200"/>
        <w:rPr>
          <w:rFonts w:ascii="FreeSerif" w:hAnsi="FreeSerif" w:eastAsia="仿宋" w:cs="FreeSerif"/>
          <w:b/>
          <w:bCs/>
          <w:spacing w:val="21"/>
          <w:sz w:val="32"/>
          <w:szCs w:val="32"/>
        </w:rPr>
      </w:pPr>
      <w:r>
        <w:rPr>
          <w:rFonts w:ascii="FreeSerif" w:hAnsi="FreeSerif" w:eastAsia="仿宋" w:cs="FreeSerif"/>
          <w:spacing w:val="21"/>
          <w:sz w:val="32"/>
          <w:szCs w:val="32"/>
        </w:rPr>
        <w:t>自治区级人社部门负责与商业保险机构签订委托服务协议，建立工作协同机制，推进商业保险机构委托办理标准化、规范化，科学编制职业伤害保障便民便企事项清单和办事指南。</w:t>
      </w:r>
    </w:p>
    <w:p w14:paraId="66B8BAF4">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第六十六条 </w:t>
      </w:r>
      <w:r>
        <w:rPr>
          <w:rFonts w:ascii="FreeSerif" w:hAnsi="FreeSerif" w:eastAsia="仿宋" w:cs="FreeSerif"/>
          <w:spacing w:val="21"/>
          <w:sz w:val="32"/>
          <w:szCs w:val="32"/>
        </w:rPr>
        <w:t>人社部门可会同医疗、交通等相关部门，通过数据监控、日常抽查、建立投诉受理渠道等方式，对委托办理机构进行监督检查，督促其及时做好受托工作。</w:t>
      </w:r>
    </w:p>
    <w:p w14:paraId="6089A60C">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第六十七条 </w:t>
      </w:r>
      <w:r>
        <w:rPr>
          <w:rFonts w:ascii="FreeSerif" w:hAnsi="FreeSerif" w:eastAsia="仿宋" w:cs="FreeSerif"/>
          <w:spacing w:val="21"/>
          <w:sz w:val="32"/>
          <w:szCs w:val="32"/>
        </w:rPr>
        <w:t>平台企业应当按照规定如实申报、及时足额缴纳职业伤害保障费。</w:t>
      </w:r>
    </w:p>
    <w:p w14:paraId="74142001">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平台企业应当落实职业伤害预防的主体责任，按照国家规定开展职业伤害预防工作，健全制度，优化算法，合理确定劳动定额，完善安全防护措施，加强新就业形态人员的安全教育和管理，通过宣传、培训等方式预防、减少职业伤害事故。</w:t>
      </w:r>
    </w:p>
    <w:p w14:paraId="511FE457">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第六十八条</w:t>
      </w:r>
      <w:r>
        <w:rPr>
          <w:rFonts w:ascii="FreeSerif" w:hAnsi="FreeSerif" w:eastAsia="仿宋" w:cs="FreeSerif"/>
          <w:spacing w:val="21"/>
          <w:sz w:val="32"/>
          <w:szCs w:val="32"/>
        </w:rPr>
        <w:t xml:space="preserve"> 新就业形态人员发生职业伤害时，平台企业应当采取措施使新就业形态人员得到及时救治。</w:t>
      </w:r>
    </w:p>
    <w:p w14:paraId="17FB74BA">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平台企业应当在经营服务所在地有相应的服务能力或者平台服务机构。</w:t>
      </w:r>
    </w:p>
    <w:p w14:paraId="563C05D8">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平台服务机构对当地招募注册的新就业形态人员进行管理和服务，配合人社部门、税务机关等相关部门做好参保登记核实、数据传递、费款征缴、争议处理等事项，协助办理新就业形态人员职业伤害待遇申请、事故调查取证、劳动能力鉴定申请等服务事宜。</w:t>
      </w:r>
    </w:p>
    <w:p w14:paraId="6DBC5C78">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第六十九条</w:t>
      </w:r>
      <w:r>
        <w:rPr>
          <w:rFonts w:ascii="FreeSerif" w:hAnsi="FreeSerif" w:eastAsia="仿宋" w:cs="FreeSerif"/>
          <w:spacing w:val="21"/>
          <w:sz w:val="32"/>
          <w:szCs w:val="32"/>
        </w:rPr>
        <w:t xml:space="preserve"> 平台企业应当加强对平台服务机构的管理，明确服务区域、服务内容和服务权限，并在平台企业网站等渠道上公布平台服务机构名单、联系人等信息。</w:t>
      </w:r>
    </w:p>
    <w:p w14:paraId="706C113D">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第七十条 </w:t>
      </w:r>
      <w:r>
        <w:rPr>
          <w:rFonts w:ascii="FreeSerif" w:hAnsi="FreeSerif" w:eastAsia="仿宋" w:cs="FreeSerif"/>
          <w:spacing w:val="21"/>
          <w:sz w:val="32"/>
          <w:szCs w:val="32"/>
        </w:rPr>
        <w:t>平台企业应当将平台服务机构名单、注册地址、联系人、联系方式以及服务区域等信息推送全国信息平台，以便全国信息平台推送至自治区集中系统；信息有变化调整的，应当在5个工作日内通过全国信息平台进行变更。</w:t>
      </w:r>
    </w:p>
    <w:p w14:paraId="0897FF72">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第七十一条 </w:t>
      </w:r>
      <w:r>
        <w:rPr>
          <w:rFonts w:ascii="FreeSerif" w:hAnsi="FreeSerif" w:eastAsia="仿宋" w:cs="FreeSerif"/>
          <w:spacing w:val="21"/>
          <w:sz w:val="32"/>
          <w:szCs w:val="32"/>
        </w:rPr>
        <w:t>平台服务机构经向当地人社部门登记备案后，按照平台企业的委托权限，办理相关事宜；积极配合做好职业伤害保障服务工作，并接受当地人社部门的监督管理。</w:t>
      </w:r>
    </w:p>
    <w:p w14:paraId="36546E9F">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第七十二条 </w:t>
      </w:r>
      <w:r>
        <w:rPr>
          <w:rFonts w:ascii="FreeSerif" w:hAnsi="FreeSerif" w:eastAsia="仿宋" w:cs="FreeSerif"/>
          <w:spacing w:val="21"/>
          <w:sz w:val="32"/>
          <w:szCs w:val="32"/>
        </w:rPr>
        <w:t>平台服务机构应当对其管理的新就业形态人员在本地注册接单前进行身份核验、健康检查、安全培训等。</w:t>
      </w:r>
    </w:p>
    <w:p w14:paraId="3558484B">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新就业形态人员发生事故伤害的，可以直接联系其所属的平台服务机构，提出及时送医救治、职业伤害保障待遇申请、劳动能力鉴定申请等服务事宜。平台服务机构不得推诿推脱。</w:t>
      </w:r>
    </w:p>
    <w:p w14:paraId="69F86AD3">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第七十三条 </w:t>
      </w:r>
      <w:r>
        <w:rPr>
          <w:rFonts w:ascii="FreeSerif" w:hAnsi="FreeSerif" w:eastAsia="仿宋" w:cs="FreeSerif"/>
          <w:spacing w:val="21"/>
          <w:sz w:val="32"/>
          <w:szCs w:val="32"/>
        </w:rPr>
        <w:t>对平台企业或者平台服务机构不及时参保登记和申报申请、不协助送医救治、不配合调查等行为，由当地</w:t>
      </w:r>
      <w:r>
        <w:rPr>
          <w:rFonts w:ascii="FreeSerif" w:hAnsi="FreeSerif" w:eastAsia="仿宋" w:cs="FreeSerif"/>
          <w:spacing w:val="22"/>
          <w:sz w:val="32"/>
          <w:szCs w:val="32"/>
        </w:rPr>
        <w:t>人社</w:t>
      </w:r>
      <w:r>
        <w:rPr>
          <w:rFonts w:hint="eastAsia" w:ascii="FreeSerif" w:hAnsi="FreeSerif" w:eastAsia="仿宋" w:cs="FreeSerif"/>
          <w:spacing w:val="22"/>
          <w:sz w:val="32"/>
          <w:szCs w:val="32"/>
          <w:lang w:eastAsia="zh-CN"/>
        </w:rPr>
        <w:t>行政</w:t>
      </w:r>
      <w:r>
        <w:rPr>
          <w:rFonts w:ascii="FreeSerif" w:hAnsi="FreeSerif" w:eastAsia="仿宋" w:cs="FreeSerif"/>
          <w:spacing w:val="22"/>
          <w:sz w:val="32"/>
          <w:szCs w:val="32"/>
        </w:rPr>
        <w:t>部门</w:t>
      </w:r>
      <w:r>
        <w:rPr>
          <w:rFonts w:ascii="FreeSerif" w:hAnsi="FreeSerif" w:eastAsia="仿宋" w:cs="FreeSerif"/>
          <w:spacing w:val="21"/>
          <w:sz w:val="32"/>
          <w:szCs w:val="32"/>
        </w:rPr>
        <w:t>责令改正；导致新就业形态人员权益受到损害的，由平台企业承担责任。造成重大不良社会影响的，由自治区人社部门报告人力资源社会保障部。</w:t>
      </w:r>
    </w:p>
    <w:p w14:paraId="3BA5E831">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第七十四条 </w:t>
      </w:r>
      <w:r>
        <w:rPr>
          <w:rFonts w:ascii="FreeSerif" w:hAnsi="FreeSerif" w:eastAsia="仿宋" w:cs="FreeSerif"/>
          <w:spacing w:val="21"/>
          <w:sz w:val="32"/>
          <w:szCs w:val="32"/>
        </w:rPr>
        <w:t>自治区级经办机构和税务机关以全区职业伤害保障业务数据为基础，利用信息化手段和统计方法，建立统计台账，生成统计数据，监测运行情况，定期开展职业伤害保障运行情况分析，管理统计资料。</w:t>
      </w:r>
    </w:p>
    <w:p w14:paraId="063A361C">
      <w:pPr>
        <w:spacing w:line="600" w:lineRule="exact"/>
        <w:ind w:firstLine="724" w:firstLineChars="200"/>
        <w:rPr>
          <w:rFonts w:ascii="FreeSerif" w:hAnsi="FreeSerif" w:eastAsia="仿宋" w:cs="FreeSerif"/>
          <w:spacing w:val="21"/>
          <w:sz w:val="32"/>
          <w:szCs w:val="32"/>
        </w:rPr>
      </w:pPr>
      <w:r>
        <w:rPr>
          <w:rFonts w:ascii="FreeSerif" w:hAnsi="FreeSerif" w:eastAsia="仿宋" w:cs="FreeSerif"/>
          <w:spacing w:val="21"/>
          <w:sz w:val="32"/>
          <w:szCs w:val="32"/>
        </w:rPr>
        <w:t>在职业伤害保障费率和待遇水平等进行调整时，开展专项测算分析，支持政策决策，评估风险与效率。</w:t>
      </w:r>
    </w:p>
    <w:p w14:paraId="3698B262">
      <w:pPr>
        <w:spacing w:line="600" w:lineRule="exact"/>
        <w:ind w:firstLine="727" w:firstLineChars="200"/>
        <w:rPr>
          <w:rFonts w:ascii="FreeSerif" w:hAnsi="FreeSerif" w:eastAsia="仿宋" w:cs="FreeSerif"/>
          <w:b/>
          <w:bCs/>
          <w:spacing w:val="21"/>
          <w:sz w:val="32"/>
          <w:szCs w:val="32"/>
        </w:rPr>
      </w:pPr>
      <w:r>
        <w:rPr>
          <w:rFonts w:ascii="FreeSerif" w:hAnsi="FreeSerif" w:eastAsia="仿宋" w:cs="FreeSerif"/>
          <w:b/>
          <w:bCs/>
          <w:spacing w:val="21"/>
          <w:sz w:val="32"/>
          <w:szCs w:val="32"/>
        </w:rPr>
        <w:t xml:space="preserve">第七十五条 </w:t>
      </w:r>
      <w:r>
        <w:rPr>
          <w:rFonts w:ascii="FreeSerif" w:hAnsi="FreeSerif" w:eastAsia="仿宋" w:cs="FreeSerif"/>
          <w:spacing w:val="21"/>
          <w:sz w:val="32"/>
          <w:szCs w:val="32"/>
        </w:rPr>
        <w:t>委托承办机构承办职业伤害保障业务形成的档案，参照《社会保险业务档案管理规定（试行）》（人力资源社会保障部3号令）和《社会保险电子档案管理暂行办法》（人社险中心函〔2020〕16 号）管理；与职业伤害确认有关的资料、医疗费报销发票原件、劳动能力鉴定费用票据原件等纸质材料应当及时归档、定期移交，具体按照委托承办协议的约定执行。</w:t>
      </w:r>
    </w:p>
    <w:p w14:paraId="709DC0CA">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第七十六条 </w:t>
      </w:r>
      <w:r>
        <w:rPr>
          <w:rFonts w:ascii="FreeSerif" w:hAnsi="FreeSerif" w:eastAsia="仿宋" w:cs="FreeSerif"/>
          <w:spacing w:val="21"/>
          <w:sz w:val="32"/>
          <w:szCs w:val="32"/>
        </w:rPr>
        <w:t>各级人社部门、税务机关等机构及其工作人员，应当依法为平台企业和新就业形态人员的信息保密。</w:t>
      </w:r>
    </w:p>
    <w:p w14:paraId="1E26F97F">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第七十七条 </w:t>
      </w:r>
      <w:r>
        <w:rPr>
          <w:rFonts w:ascii="FreeSerif" w:hAnsi="FreeSerif" w:eastAsia="仿宋" w:cs="FreeSerif"/>
          <w:spacing w:val="21"/>
          <w:sz w:val="32"/>
          <w:szCs w:val="32"/>
        </w:rPr>
        <w:t>经办机构按年度向社会公开新就业形态人员职业伤害保障参保情况、收支情况、权益保障情况等，接受社会监督。</w:t>
      </w:r>
    </w:p>
    <w:p w14:paraId="0D111444">
      <w:pPr>
        <w:spacing w:line="600" w:lineRule="exact"/>
        <w:ind w:firstLine="727" w:firstLineChars="200"/>
        <w:rPr>
          <w:rFonts w:ascii="FreeSerif" w:hAnsi="FreeSerif" w:eastAsia="方正仿宋_GB2312" w:cs="FreeSerif"/>
          <w:spacing w:val="21"/>
          <w:sz w:val="32"/>
          <w:szCs w:val="32"/>
        </w:rPr>
      </w:pPr>
      <w:r>
        <w:rPr>
          <w:rFonts w:ascii="FreeSerif" w:hAnsi="FreeSerif" w:eastAsia="方正仿宋_GB2312" w:cs="FreeSerif"/>
          <w:b/>
          <w:bCs/>
          <w:spacing w:val="21"/>
          <w:sz w:val="32"/>
          <w:szCs w:val="32"/>
        </w:rPr>
        <w:t xml:space="preserve"> </w:t>
      </w:r>
    </w:p>
    <w:p w14:paraId="5A18B9BB">
      <w:pPr>
        <w:spacing w:line="600" w:lineRule="exact"/>
        <w:ind w:firstLine="724" w:firstLineChars="200"/>
        <w:jc w:val="center"/>
        <w:rPr>
          <w:rFonts w:ascii="FreeSerif" w:hAnsi="FreeSerif" w:eastAsia="黑体" w:cs="FreeSerif"/>
          <w:spacing w:val="21"/>
          <w:sz w:val="32"/>
          <w:szCs w:val="32"/>
        </w:rPr>
      </w:pPr>
      <w:r>
        <w:rPr>
          <w:rFonts w:ascii="FreeSerif" w:hAnsi="FreeSerif" w:eastAsia="黑体" w:cs="FreeSerif"/>
          <w:spacing w:val="21"/>
          <w:sz w:val="32"/>
          <w:szCs w:val="32"/>
        </w:rPr>
        <w:t>第九章  附则</w:t>
      </w:r>
    </w:p>
    <w:p w14:paraId="1BBDA682">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第七十八条 </w:t>
      </w:r>
      <w:r>
        <w:rPr>
          <w:rFonts w:ascii="FreeSerif" w:hAnsi="FreeSerif" w:eastAsia="仿宋" w:cs="FreeSerif"/>
          <w:spacing w:val="21"/>
          <w:sz w:val="32"/>
          <w:szCs w:val="32"/>
        </w:rPr>
        <w:t>本规程所称平台服务机构是指平台企业在经营服务所在地设立的分公司、子公司等分支机构或者合作的加盟商、配送公司以及人力资源服务公司等机构。</w:t>
      </w:r>
    </w:p>
    <w:p w14:paraId="60754768">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第七十九条 </w:t>
      </w:r>
      <w:r>
        <w:rPr>
          <w:rFonts w:ascii="FreeSerif" w:hAnsi="FreeSerif" w:eastAsia="仿宋" w:cs="FreeSerif"/>
          <w:spacing w:val="21"/>
          <w:sz w:val="32"/>
          <w:szCs w:val="32"/>
        </w:rPr>
        <w:t>本规程所称有效身份证件包括：在有效期内的居民身份证（包含临时身份证）、居民户口簿、社会保障卡、居住证、港澳居民来往内地通行证、港澳台居民居住证、外国人永久居留证、护照等证件。</w:t>
      </w:r>
    </w:p>
    <w:p w14:paraId="5E988C76">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第八十条 </w:t>
      </w:r>
      <w:r>
        <w:rPr>
          <w:rFonts w:ascii="FreeSerif" w:hAnsi="FreeSerif" w:eastAsia="仿宋" w:cs="FreeSerif"/>
          <w:spacing w:val="21"/>
          <w:sz w:val="32"/>
          <w:szCs w:val="32"/>
        </w:rPr>
        <w:t>本规程未尽事宜，参照《工伤保险条例》《内蒙古自治区工伤保险条例实施办法》（内政发〔2014〕65号）规定执行，但其中涉及劳动关系处理及劳动关系处理有关的待遇保障规定除外。</w:t>
      </w:r>
    </w:p>
    <w:p w14:paraId="7B47EB41">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第八十一条 </w:t>
      </w:r>
      <w:r>
        <w:rPr>
          <w:rFonts w:ascii="FreeSerif" w:hAnsi="FreeSerif" w:eastAsia="仿宋" w:cs="FreeSerif"/>
          <w:spacing w:val="21"/>
          <w:sz w:val="32"/>
          <w:szCs w:val="32"/>
        </w:rPr>
        <w:t>本规程由自治区人力资源和社会保障厅、国家税务总局内蒙古自治区税务局负责解释。</w:t>
      </w:r>
    </w:p>
    <w:p w14:paraId="5FE9B0D6">
      <w:pPr>
        <w:spacing w:line="600" w:lineRule="exact"/>
        <w:ind w:firstLine="727" w:firstLineChars="200"/>
        <w:rPr>
          <w:rFonts w:ascii="FreeSerif" w:hAnsi="FreeSerif" w:eastAsia="仿宋" w:cs="FreeSerif"/>
          <w:spacing w:val="21"/>
          <w:sz w:val="32"/>
          <w:szCs w:val="32"/>
        </w:rPr>
      </w:pPr>
      <w:r>
        <w:rPr>
          <w:rFonts w:ascii="FreeSerif" w:hAnsi="FreeSerif" w:eastAsia="仿宋" w:cs="FreeSerif"/>
          <w:b/>
          <w:bCs/>
          <w:spacing w:val="21"/>
          <w:sz w:val="32"/>
          <w:szCs w:val="32"/>
        </w:rPr>
        <w:t xml:space="preserve">第八十二条 </w:t>
      </w:r>
      <w:r>
        <w:rPr>
          <w:rFonts w:ascii="FreeSerif" w:hAnsi="FreeSerif" w:eastAsia="仿宋" w:cs="FreeSerif"/>
          <w:spacing w:val="21"/>
          <w:sz w:val="32"/>
          <w:szCs w:val="32"/>
        </w:rPr>
        <w:t>本规程自2026年7月1日起开始施行。本规程施行后受到事故伤害的职业伤害人员，按照本规程有关规定执行。根据运行情况，适时对规程相关内容进行调整。</w:t>
      </w:r>
    </w:p>
    <w:p w14:paraId="1464770E">
      <w:pPr>
        <w:spacing w:line="600" w:lineRule="exact"/>
        <w:rPr>
          <w:rFonts w:ascii="FreeSerif" w:hAnsi="FreeSerif" w:eastAsia="方正仿宋_GB2312" w:cs="FreeSerif"/>
          <w:spacing w:val="21"/>
          <w:sz w:val="32"/>
          <w:szCs w:val="32"/>
        </w:rPr>
      </w:pPr>
    </w:p>
    <w:p w14:paraId="5ADBDDB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附件：1. </w:t>
      </w:r>
      <w:r>
        <w:rPr>
          <w:rFonts w:hint="eastAsia" w:ascii="仿宋" w:hAnsi="仿宋" w:eastAsia="仿宋" w:cs="仿宋"/>
          <w:sz w:val="32"/>
          <w:szCs w:val="32"/>
        </w:rPr>
        <w:t>新就业形态人员职业伤害保障费缴费申报表</w:t>
      </w:r>
    </w:p>
    <w:p w14:paraId="5443B88B">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2. 职业伤害保障待遇申请超期说明</w:t>
      </w:r>
    </w:p>
    <w:p w14:paraId="4DC814BF">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3. 职业伤害保障伤残待遇申请表</w:t>
      </w:r>
    </w:p>
    <w:p w14:paraId="381036CD">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4. 职业伤害保障死亡待遇申请表</w:t>
      </w:r>
    </w:p>
    <w:p w14:paraId="21365C78">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5. 待遇申请表申报说明</w:t>
      </w:r>
    </w:p>
    <w:p w14:paraId="4CC6A88E">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6. 职业伤害保障待遇垫付情况说明</w:t>
      </w:r>
    </w:p>
    <w:p w14:paraId="07B217EA">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7. 知情同意确认书</w:t>
      </w:r>
    </w:p>
    <w:p w14:paraId="63B230EA">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8. 职业伤害确认结论书</w:t>
      </w:r>
    </w:p>
    <w:p w14:paraId="7346B646">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9. 不予确认职业伤害结论书</w:t>
      </w:r>
    </w:p>
    <w:p w14:paraId="1632789E">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10. 劳动能力鉴定申请表</w:t>
      </w:r>
    </w:p>
    <w:p w14:paraId="174B7C5A">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11. 职业伤害人员劳动能力初次（复查）鉴定结论书</w:t>
      </w:r>
    </w:p>
    <w:p w14:paraId="49D4C97B">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12. 职业伤害人员劳动能力再次鉴定结论书</w:t>
      </w:r>
    </w:p>
    <w:p w14:paraId="2135338B">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13. 职业伤害保障就医（康复）备案表</w:t>
      </w:r>
    </w:p>
    <w:p w14:paraId="64E3C7FC">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14. 职业伤害保障配置辅助器具备案表</w:t>
      </w:r>
    </w:p>
    <w:p w14:paraId="484A81B9">
      <w:pPr>
        <w:spacing w:line="6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15. 职业伤害保障康复治疗计划</w:t>
      </w:r>
    </w:p>
    <w:sectPr>
      <w:headerReference r:id="rId3" w:type="default"/>
      <w:footerReference r:id="rId4" w:type="default"/>
      <w:pgSz w:w="11906" w:h="16838"/>
      <w:pgMar w:top="283" w:right="1474" w:bottom="454"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BFCD47-FA46-47D8-912B-B4334DD123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D082EF3-70F6-4131-9ABA-31BF2B598DD9}"/>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1B22C1B2-9ACE-4B96-9189-C257CE7B16C3}"/>
  </w:font>
  <w:font w:name="楷体">
    <w:panose1 w:val="02010609060101010101"/>
    <w:charset w:val="86"/>
    <w:family w:val="auto"/>
    <w:pitch w:val="default"/>
    <w:sig w:usb0="800002BF" w:usb1="38CF7CFA" w:usb2="00000016" w:usb3="00000000" w:csb0="00040001" w:csb1="00000000"/>
    <w:embedRegular r:id="rId4" w:fontKey="{714D95E6-FCF3-4AF2-8FA4-62B9BCB7CBFD}"/>
  </w:font>
  <w:font w:name="FreeSerif">
    <w:altName w:val="Times New Roman"/>
    <w:panose1 w:val="02020603050405020304"/>
    <w:charset w:val="00"/>
    <w:family w:val="roman"/>
    <w:pitch w:val="default"/>
    <w:sig w:usb0="E59FAFFF" w:usb1="C200FDFF" w:usb2="43501B29" w:usb3="04000043" w:csb0="600101FF" w:csb1="FFFF0000"/>
    <w:embedRegular r:id="rId5" w:fontKey="{73CF171F-F20C-4E3A-B9AF-FDEB3F454ABE}"/>
  </w:font>
  <w:font w:name="方正小标宋简体">
    <w:panose1 w:val="02000000000000000000"/>
    <w:charset w:val="86"/>
    <w:family w:val="auto"/>
    <w:pitch w:val="default"/>
    <w:sig w:usb0="A00002BF" w:usb1="184F6CFA" w:usb2="00000012" w:usb3="00000000" w:csb0="00040001" w:csb1="00000000"/>
    <w:embedRegular r:id="rId6" w:fontKey="{F529FA73-23B8-46AE-A11E-49532BFD2D61}"/>
  </w:font>
  <w:font w:name="方正仿宋_GB2312">
    <w:altName w:val="仿宋"/>
    <w:panose1 w:val="02000000000000000000"/>
    <w:charset w:val="86"/>
    <w:family w:val="auto"/>
    <w:pitch w:val="default"/>
    <w:sig w:usb0="A00002BF" w:usb1="184F6CFA" w:usb2="00000012" w:usb3="00000000" w:csb0="00040001" w:csb1="00000000"/>
    <w:embedRegular r:id="rId7" w:fontKey="{B6E1A811-9972-4CB2-AF68-CDFD842F9B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50687">
    <w:pPr>
      <w:spacing w:line="232" w:lineRule="auto"/>
      <w:ind w:left="104"/>
      <w:rPr>
        <w:rFonts w:ascii="楷体" w:hAnsi="楷体" w:eastAsia="楷体" w:cs="楷体"/>
        <w:sz w:val="27"/>
        <w:szCs w:val="2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7A047">
    <w:pPr>
      <w:spacing w:line="224" w:lineRule="auto"/>
      <w:ind w:left="109"/>
      <w:rPr>
        <w:rFonts w:ascii="黑体" w:hAnsi="黑体" w:eastAsia="黑体" w:cs="黑体"/>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8.1.176:80/seeyon/officeservlet"/>
  </w:docVars>
  <w:rsids>
    <w:rsidRoot w:val="00AE584F"/>
    <w:rsid w:val="00062D74"/>
    <w:rsid w:val="00186D05"/>
    <w:rsid w:val="00192500"/>
    <w:rsid w:val="0037116F"/>
    <w:rsid w:val="003C6D92"/>
    <w:rsid w:val="004F44C9"/>
    <w:rsid w:val="00526F49"/>
    <w:rsid w:val="00544210"/>
    <w:rsid w:val="00575551"/>
    <w:rsid w:val="005B2C59"/>
    <w:rsid w:val="00636AF8"/>
    <w:rsid w:val="0069494E"/>
    <w:rsid w:val="006B49D0"/>
    <w:rsid w:val="00720AAB"/>
    <w:rsid w:val="007A45F2"/>
    <w:rsid w:val="00842555"/>
    <w:rsid w:val="008C2738"/>
    <w:rsid w:val="008D787F"/>
    <w:rsid w:val="009B7B71"/>
    <w:rsid w:val="009C75A1"/>
    <w:rsid w:val="00AB780A"/>
    <w:rsid w:val="00AE584F"/>
    <w:rsid w:val="00B55392"/>
    <w:rsid w:val="00BB436F"/>
    <w:rsid w:val="00C51335"/>
    <w:rsid w:val="00CD465A"/>
    <w:rsid w:val="00D741BA"/>
    <w:rsid w:val="00DB0F09"/>
    <w:rsid w:val="00DD68D3"/>
    <w:rsid w:val="00DE1AE0"/>
    <w:rsid w:val="00E03358"/>
    <w:rsid w:val="00E73577"/>
    <w:rsid w:val="00F30A59"/>
    <w:rsid w:val="00FC0333"/>
    <w:rsid w:val="217D380A"/>
    <w:rsid w:val="22CF1C88"/>
    <w:rsid w:val="2EE7734E"/>
    <w:rsid w:val="365809AC"/>
    <w:rsid w:val="3E7F554B"/>
    <w:rsid w:val="3FFFBC5A"/>
    <w:rsid w:val="407A2EA2"/>
    <w:rsid w:val="4C776D50"/>
    <w:rsid w:val="4D1C3963"/>
    <w:rsid w:val="5B6E67A0"/>
    <w:rsid w:val="699C12A9"/>
    <w:rsid w:val="75EF4861"/>
    <w:rsid w:val="76004D7C"/>
    <w:rsid w:val="77EC1EE1"/>
    <w:rsid w:val="792564D0"/>
    <w:rsid w:val="7BD35AC7"/>
    <w:rsid w:val="7F76CE25"/>
    <w:rsid w:val="7FDDD8B9"/>
    <w:rsid w:val="7FF581F3"/>
    <w:rsid w:val="BEFF8E00"/>
    <w:rsid w:val="D2DD41EE"/>
    <w:rsid w:val="F9AFC519"/>
    <w:rsid w:val="FF7E08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widowControl/>
      <w:kinsoku w:val="0"/>
      <w:autoSpaceDE w:val="0"/>
      <w:autoSpaceDN w:val="0"/>
      <w:adjustRightInd w:val="0"/>
      <w:snapToGrid w:val="0"/>
      <w:spacing w:before="340" w:after="330" w:line="576" w:lineRule="auto"/>
      <w:jc w:val="left"/>
      <w:textAlignment w:val="baseline"/>
      <w:outlineLvl w:val="0"/>
    </w:pPr>
    <w:rPr>
      <w:rFonts w:ascii="Arial" w:hAnsi="Arial" w:cs="Arial"/>
      <w:b/>
      <w:color w:val="000000"/>
      <w:kern w:val="44"/>
      <w:sz w:val="44"/>
      <w:szCs w:val="21"/>
      <w:lang w:eastAsia="en-US"/>
    </w:rPr>
  </w:style>
  <w:style w:type="paragraph" w:styleId="3">
    <w:name w:val="heading 2"/>
    <w:basedOn w:val="1"/>
    <w:next w:val="1"/>
    <w:link w:val="17"/>
    <w:qFormat/>
    <w:uiPriority w:val="99"/>
    <w:pPr>
      <w:keepNext/>
      <w:keepLines/>
      <w:widowControl/>
      <w:kinsoku w:val="0"/>
      <w:autoSpaceDE w:val="0"/>
      <w:autoSpaceDN w:val="0"/>
      <w:adjustRightInd w:val="0"/>
      <w:snapToGrid w:val="0"/>
      <w:spacing w:line="413" w:lineRule="auto"/>
      <w:jc w:val="left"/>
      <w:textAlignment w:val="baseline"/>
      <w:outlineLvl w:val="1"/>
    </w:pPr>
    <w:rPr>
      <w:rFonts w:ascii="Arial" w:hAnsi="Arial" w:eastAsia="黑体" w:cs="Arial"/>
      <w:b/>
      <w:color w:val="000000"/>
      <w:kern w:val="0"/>
      <w:sz w:val="32"/>
      <w:szCs w:val="21"/>
      <w:lang w:eastAsia="en-US"/>
    </w:rPr>
  </w:style>
  <w:style w:type="paragraph" w:styleId="4">
    <w:name w:val="heading 3"/>
    <w:basedOn w:val="1"/>
    <w:next w:val="1"/>
    <w:link w:val="18"/>
    <w:unhideWhenUsed/>
    <w:qFormat/>
    <w:uiPriority w:val="0"/>
    <w:pPr>
      <w:keepNext/>
      <w:keepLines/>
      <w:widowControl/>
      <w:kinsoku w:val="0"/>
      <w:autoSpaceDE w:val="0"/>
      <w:autoSpaceDN w:val="0"/>
      <w:adjustRightInd w:val="0"/>
      <w:snapToGrid w:val="0"/>
      <w:spacing w:before="260" w:after="260" w:line="413" w:lineRule="auto"/>
      <w:jc w:val="left"/>
      <w:textAlignment w:val="baseline"/>
      <w:outlineLvl w:val="2"/>
    </w:pPr>
    <w:rPr>
      <w:rFonts w:ascii="Arial" w:hAnsi="Arial" w:cs="Arial"/>
      <w:b/>
      <w:color w:val="000000"/>
      <w:kern w:val="0"/>
      <w:sz w:val="32"/>
      <w:szCs w:val="21"/>
      <w:lang w:eastAsia="en-US"/>
    </w:rPr>
  </w:style>
  <w:style w:type="paragraph" w:styleId="5">
    <w:name w:val="heading 4"/>
    <w:basedOn w:val="1"/>
    <w:next w:val="1"/>
    <w:link w:val="19"/>
    <w:unhideWhenUsed/>
    <w:qFormat/>
    <w:uiPriority w:val="0"/>
    <w:pPr>
      <w:keepNext/>
      <w:keepLines/>
      <w:widowControl/>
      <w:kinsoku w:val="0"/>
      <w:autoSpaceDE w:val="0"/>
      <w:autoSpaceDN w:val="0"/>
      <w:adjustRightInd w:val="0"/>
      <w:snapToGrid w:val="0"/>
      <w:spacing w:before="280" w:after="290" w:line="372" w:lineRule="auto"/>
      <w:jc w:val="left"/>
      <w:textAlignment w:val="baseline"/>
      <w:outlineLvl w:val="3"/>
    </w:pPr>
    <w:rPr>
      <w:rFonts w:ascii="Arial" w:hAnsi="Arial" w:eastAsia="黑体" w:cs="Arial"/>
      <w:b/>
      <w:color w:val="000000"/>
      <w:kern w:val="0"/>
      <w:sz w:val="28"/>
      <w:szCs w:val="21"/>
      <w:lang w:eastAsia="en-US"/>
    </w:r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6">
    <w:name w:val="annotation text"/>
    <w:basedOn w:val="1"/>
    <w:link w:val="20"/>
    <w:qFormat/>
    <w:uiPriority w:val="99"/>
    <w:pPr>
      <w:widowControl/>
      <w:kinsoku w:val="0"/>
      <w:autoSpaceDE w:val="0"/>
      <w:autoSpaceDN w:val="0"/>
      <w:adjustRightInd w:val="0"/>
      <w:snapToGrid w:val="0"/>
      <w:jc w:val="left"/>
      <w:textAlignment w:val="baseline"/>
    </w:pPr>
    <w:rPr>
      <w:rFonts w:ascii="Arial" w:hAnsi="Arial" w:cs="Arial"/>
      <w:color w:val="000000"/>
      <w:kern w:val="0"/>
      <w:szCs w:val="21"/>
      <w:lang w:eastAsia="en-US"/>
    </w:rPr>
  </w:style>
  <w:style w:type="paragraph" w:styleId="7">
    <w:name w:val="Body Text"/>
    <w:basedOn w:val="1"/>
    <w:link w:val="21"/>
    <w:semiHidden/>
    <w:qFormat/>
    <w:uiPriority w:val="99"/>
    <w:pPr>
      <w:widowControl/>
      <w:kinsoku w:val="0"/>
      <w:autoSpaceDE w:val="0"/>
      <w:autoSpaceDN w:val="0"/>
      <w:adjustRightInd w:val="0"/>
      <w:snapToGrid w:val="0"/>
      <w:jc w:val="left"/>
      <w:textAlignment w:val="baseline"/>
    </w:pPr>
    <w:rPr>
      <w:rFonts w:ascii="仿宋" w:hAnsi="仿宋" w:eastAsia="仿宋" w:cs="仿宋"/>
      <w:color w:val="000000"/>
      <w:kern w:val="0"/>
      <w:sz w:val="30"/>
      <w:szCs w:val="30"/>
      <w:lang w:eastAsia="en-US"/>
    </w:rPr>
  </w:style>
  <w:style w:type="paragraph" w:styleId="8">
    <w:name w:val="Balloon Text"/>
    <w:basedOn w:val="1"/>
    <w:link w:val="22"/>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rPr>
  </w:style>
  <w:style w:type="character" w:styleId="15">
    <w:name w:val="annotation reference"/>
    <w:basedOn w:val="13"/>
    <w:qFormat/>
    <w:uiPriority w:val="99"/>
    <w:rPr>
      <w:rFonts w:cs="Times New Roman"/>
      <w:sz w:val="21"/>
      <w:szCs w:val="21"/>
    </w:rPr>
  </w:style>
  <w:style w:type="character" w:customStyle="1" w:styleId="16">
    <w:name w:val="标题 1 Char"/>
    <w:basedOn w:val="13"/>
    <w:link w:val="2"/>
    <w:qFormat/>
    <w:uiPriority w:val="0"/>
    <w:rPr>
      <w:rFonts w:ascii="Arial" w:hAnsi="Arial" w:cs="Arial"/>
      <w:b/>
      <w:color w:val="000000"/>
      <w:kern w:val="44"/>
      <w:sz w:val="44"/>
      <w:szCs w:val="21"/>
      <w:lang w:eastAsia="en-US"/>
    </w:rPr>
  </w:style>
  <w:style w:type="character" w:customStyle="1" w:styleId="17">
    <w:name w:val="标题 2 Char"/>
    <w:basedOn w:val="13"/>
    <w:link w:val="3"/>
    <w:qFormat/>
    <w:uiPriority w:val="99"/>
    <w:rPr>
      <w:rFonts w:ascii="Arial" w:hAnsi="Arial" w:eastAsia="黑体" w:cs="Arial"/>
      <w:b/>
      <w:color w:val="000000"/>
      <w:sz w:val="32"/>
      <w:szCs w:val="21"/>
      <w:lang w:eastAsia="en-US"/>
    </w:rPr>
  </w:style>
  <w:style w:type="character" w:customStyle="1" w:styleId="18">
    <w:name w:val="标题 3 Char"/>
    <w:basedOn w:val="13"/>
    <w:link w:val="4"/>
    <w:qFormat/>
    <w:uiPriority w:val="0"/>
    <w:rPr>
      <w:rFonts w:ascii="Arial" w:hAnsi="Arial" w:cs="Arial"/>
      <w:b/>
      <w:color w:val="000000"/>
      <w:sz w:val="32"/>
      <w:szCs w:val="21"/>
      <w:lang w:eastAsia="en-US"/>
    </w:rPr>
  </w:style>
  <w:style w:type="character" w:customStyle="1" w:styleId="19">
    <w:name w:val="标题 4 Char"/>
    <w:basedOn w:val="13"/>
    <w:link w:val="5"/>
    <w:qFormat/>
    <w:uiPriority w:val="0"/>
    <w:rPr>
      <w:rFonts w:ascii="Arial" w:hAnsi="Arial" w:eastAsia="黑体" w:cs="Arial"/>
      <w:b/>
      <w:color w:val="000000"/>
      <w:sz w:val="28"/>
      <w:szCs w:val="21"/>
      <w:lang w:eastAsia="en-US"/>
    </w:rPr>
  </w:style>
  <w:style w:type="character" w:customStyle="1" w:styleId="20">
    <w:name w:val="批注文字 Char"/>
    <w:basedOn w:val="13"/>
    <w:link w:val="6"/>
    <w:qFormat/>
    <w:uiPriority w:val="99"/>
    <w:rPr>
      <w:rFonts w:ascii="Arial" w:hAnsi="Arial" w:cs="Arial"/>
      <w:color w:val="000000"/>
      <w:sz w:val="21"/>
      <w:szCs w:val="21"/>
      <w:lang w:eastAsia="en-US"/>
    </w:rPr>
  </w:style>
  <w:style w:type="character" w:customStyle="1" w:styleId="21">
    <w:name w:val="正文文本 Char"/>
    <w:basedOn w:val="13"/>
    <w:link w:val="7"/>
    <w:semiHidden/>
    <w:qFormat/>
    <w:uiPriority w:val="99"/>
    <w:rPr>
      <w:rFonts w:ascii="仿宋" w:hAnsi="仿宋" w:eastAsia="仿宋" w:cs="仿宋"/>
      <w:color w:val="000000"/>
      <w:sz w:val="30"/>
      <w:szCs w:val="30"/>
      <w:lang w:eastAsia="en-US"/>
    </w:rPr>
  </w:style>
  <w:style w:type="character" w:customStyle="1" w:styleId="22">
    <w:name w:val="批注框文本 Char"/>
    <w:link w:val="8"/>
    <w:semiHidden/>
    <w:qFormat/>
    <w:uiPriority w:val="99"/>
    <w:rPr>
      <w:sz w:val="18"/>
      <w:szCs w:val="18"/>
    </w:rPr>
  </w:style>
  <w:style w:type="character" w:customStyle="1" w:styleId="23">
    <w:name w:val="页脚 Char"/>
    <w:link w:val="9"/>
    <w:qFormat/>
    <w:uiPriority w:val="99"/>
    <w:rPr>
      <w:sz w:val="18"/>
      <w:szCs w:val="18"/>
    </w:rPr>
  </w:style>
  <w:style w:type="character" w:customStyle="1" w:styleId="24">
    <w:name w:val="页眉 Char"/>
    <w:link w:val="10"/>
    <w:qFormat/>
    <w:uiPriority w:val="99"/>
    <w:rPr>
      <w:sz w:val="18"/>
      <w:szCs w:val="18"/>
    </w:rPr>
  </w:style>
  <w:style w:type="paragraph" w:customStyle="1" w:styleId="25">
    <w:name w:val="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Table Text"/>
    <w:basedOn w:val="1"/>
    <w:qFormat/>
    <w:uiPriority w:val="99"/>
    <w:pPr>
      <w:widowControl/>
      <w:kinsoku w:val="0"/>
      <w:autoSpaceDE w:val="0"/>
      <w:autoSpaceDN w:val="0"/>
      <w:adjustRightInd w:val="0"/>
      <w:snapToGrid w:val="0"/>
      <w:jc w:val="left"/>
      <w:textAlignment w:val="baseline"/>
    </w:pPr>
    <w:rPr>
      <w:rFonts w:ascii="宋体" w:hAnsi="宋体" w:cs="宋体"/>
      <w:color w:val="000000"/>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6468</Words>
  <Characters>6516</Characters>
  <Lines>144</Lines>
  <Paragraphs>40</Paragraphs>
  <TotalTime>230</TotalTime>
  <ScaleCrop>false</ScaleCrop>
  <LinksUpToDate>false</LinksUpToDate>
  <CharactersWithSpaces>6646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2026-01-21T03:32:00Z</dcterms:created>
  <dc:creator>孟庆</dc:creator>
  <cp:lastModifiedBy>adamyr</cp:lastModifiedBy>
  <cp:lastPrinted>2026-01-22T11:18:05Z</cp:lastPrinted>
  <dcterms:modified xsi:type="dcterms:W3CDTF">2026-06-29T07:01:37Z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2340703D2F5C4DDFBA7F2A20F972DCA6_13</vt:lpwstr>
  </property>
  <property fmtid="{D5CDD505-2E9C-101B-9397-08002B2CF9AE}" pid="4" name="KSOTemplateDocerSaveRecord">
    <vt:lpwstr>eyJoZGlkIjoiMzFlZTdmZTI3OTNhZTY5NzViZmQ2NTQwZjk1N2JiZmMiLCJ1c2VySWQiOiI2MTA1MTI0MzcifQ==</vt:lpwstr>
  </property>
</Properties>
</file>