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D7D" w:rsidRDefault="000E6D7D" w:rsidP="000E6D7D">
      <w:pPr>
        <w:pStyle w:val="a5"/>
        <w:widowControl/>
        <w:spacing w:before="0" w:beforeAutospacing="0" w:after="0" w:afterAutospacing="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附件1</w:t>
      </w:r>
      <w:r>
        <w:rPr>
          <w:rFonts w:ascii="仿宋_GB2312" w:eastAsia="仿宋_GB2312" w:hAnsi="仿宋_GB2312" w:cs="仿宋_GB2312"/>
          <w:sz w:val="32"/>
          <w:szCs w:val="32"/>
        </w:rPr>
        <w:t>:</w:t>
      </w:r>
    </w:p>
    <w:p w:rsidR="000E6D7D" w:rsidRDefault="000E6D7D" w:rsidP="000E6D7D">
      <w:pPr>
        <w:pStyle w:val="a5"/>
        <w:widowControl/>
        <w:spacing w:before="0" w:beforeAutospacing="0" w:after="0" w:afterAutospacing="0"/>
        <w:ind w:firstLineChars="200" w:firstLine="880"/>
        <w:jc w:val="both"/>
        <w:rPr>
          <w:rFonts w:ascii="方正楷体_GB2312" w:eastAsia="方正楷体_GB2312" w:hAnsi="方正楷体_GB2312" w:cs="方正楷体_GB2312" w:hint="eastAsia"/>
          <w:sz w:val="44"/>
          <w:szCs w:val="44"/>
        </w:rPr>
      </w:pPr>
    </w:p>
    <w:p w:rsidR="000E6D7D" w:rsidRDefault="000E6D7D" w:rsidP="000E6D7D">
      <w:pPr>
        <w:pStyle w:val="a5"/>
        <w:widowControl/>
        <w:spacing w:before="0" w:beforeAutospacing="0" w:after="0" w:afterAutospacing="0"/>
        <w:ind w:leftChars="418" w:left="1318" w:hangingChars="100" w:hanging="440"/>
        <w:jc w:val="both"/>
        <w:rPr>
          <w:rFonts w:ascii="方正楷体_GB2312" w:eastAsia="方正楷体_GB2312" w:hAnsi="方正楷体_GB2312" w:cs="方正楷体_GB2312" w:hint="eastAsia"/>
          <w:b/>
          <w:bCs/>
          <w:sz w:val="44"/>
          <w:szCs w:val="44"/>
        </w:rPr>
      </w:pPr>
      <w:r>
        <w:rPr>
          <w:rFonts w:ascii="方正楷体_GB2312" w:eastAsia="方正楷体_GB2312" w:hAnsi="方正楷体_GB2312" w:cs="方正楷体_GB2312" w:hint="eastAsia"/>
          <w:b/>
          <w:bCs/>
          <w:sz w:val="44"/>
          <w:szCs w:val="44"/>
        </w:rPr>
        <w:t>2026年山西省“百行百业、人人出彩”职业技能培训需求指导目录指引</w:t>
      </w:r>
    </w:p>
    <w:p w:rsidR="000E6D7D" w:rsidRDefault="000E6D7D" w:rsidP="000E6D7D">
      <w:pPr>
        <w:pStyle w:val="a5"/>
        <w:widowControl/>
        <w:spacing w:before="0" w:beforeAutospacing="0" w:after="0" w:afterAutospacing="0"/>
        <w:ind w:firstLineChars="200" w:firstLine="640"/>
        <w:jc w:val="both"/>
        <w:rPr>
          <w:rFonts w:ascii="仿宋_GB2312" w:eastAsia="仿宋_GB2312" w:hAnsi="仿宋_GB2312" w:cs="仿宋_GB2312" w:hint="eastAsia"/>
          <w:kern w:val="2"/>
          <w:sz w:val="32"/>
          <w:szCs w:val="32"/>
        </w:rPr>
      </w:pPr>
    </w:p>
    <w:p w:rsidR="000E6D7D" w:rsidRDefault="000E6D7D" w:rsidP="000E6D7D">
      <w:pPr>
        <w:widowControl/>
        <w:ind w:firstLineChars="200" w:firstLine="640"/>
        <w:jc w:val="left"/>
        <w:rPr>
          <w:rFonts w:ascii="仿宋_GB2312" w:eastAsia="仿宋_GB2312" w:hAnsi="仿宋_GB2312" w:cs="仿宋_GB2312" w:hint="eastAsia"/>
          <w:sz w:val="32"/>
          <w:szCs w:val="32"/>
        </w:rPr>
      </w:pPr>
      <w:r>
        <w:rPr>
          <w:rFonts w:ascii="方正楷体_GB2312" w:eastAsia="方正楷体_GB2312" w:hAnsi="方正楷体_GB2312" w:cs="方正楷体_GB2312" w:hint="eastAsia"/>
          <w:b/>
          <w:bCs/>
          <w:sz w:val="32"/>
          <w:szCs w:val="32"/>
        </w:rPr>
        <w:t>一、锚定培训需求。</w:t>
      </w:r>
      <w:r>
        <w:rPr>
          <w:rFonts w:ascii="仿宋_GB2312" w:eastAsia="仿宋_GB2312" w:hAnsi="仿宋_GB2312" w:cs="仿宋_GB2312" w:hint="eastAsia"/>
          <w:sz w:val="32"/>
          <w:szCs w:val="32"/>
        </w:rPr>
        <w:t>本目录立足全省产业布局与就业市场需求，覆盖</w:t>
      </w:r>
      <w:r>
        <w:rPr>
          <w:rFonts w:ascii="仿宋_GB2312" w:eastAsia="仿宋_GB2312" w:hAnsi="仿宋_GB2312" w:cs="仿宋_GB2312"/>
          <w:sz w:val="32"/>
          <w:szCs w:val="32"/>
        </w:rPr>
        <w:t>351</w:t>
      </w:r>
      <w:r>
        <w:rPr>
          <w:rFonts w:ascii="仿宋_GB2312" w:eastAsia="仿宋_GB2312" w:hAnsi="仿宋_GB2312" w:cs="仿宋_GB2312" w:hint="eastAsia"/>
          <w:sz w:val="32"/>
          <w:szCs w:val="32"/>
        </w:rPr>
        <w:t>个职业（工种）</w:t>
      </w:r>
      <w:r>
        <w:rPr>
          <w:rFonts w:ascii="仿宋_GB2312" w:eastAsia="仿宋_GB2312" w:hAnsi="仿宋_GB2312" w:cs="仿宋_GB2312"/>
          <w:sz w:val="32"/>
          <w:szCs w:val="32"/>
        </w:rPr>
        <w:t>,325</w:t>
      </w:r>
      <w:r>
        <w:rPr>
          <w:rFonts w:ascii="仿宋_GB2312" w:eastAsia="仿宋_GB2312" w:hAnsi="仿宋_GB2312" w:cs="仿宋_GB2312" w:hint="eastAsia"/>
          <w:sz w:val="32"/>
          <w:szCs w:val="32"/>
        </w:rPr>
        <w:t>个培训机构，紧扣山西省传统优势产业升级、战略性新兴产业培育、特优农业提质、服务业扩能、文化旅游融合五大专项培训需求，强化技能培训与产业链、创新链、人才链协同，推动技能人才供给与产业发展深度匹配，助力打造技能山西生态链，为全省职业技能培训工作提供权威遵循和行动指引。</w:t>
      </w:r>
    </w:p>
    <w:p w:rsidR="000E6D7D" w:rsidRDefault="000E6D7D" w:rsidP="000E6D7D">
      <w:pPr>
        <w:pStyle w:val="a5"/>
        <w:widowControl/>
        <w:spacing w:before="0" w:beforeAutospacing="0" w:after="0" w:afterAutospacing="0"/>
        <w:ind w:firstLineChars="200" w:firstLine="640"/>
        <w:jc w:val="both"/>
        <w:rPr>
          <w:rFonts w:ascii="仿宋_GB2312" w:eastAsia="仿宋_GB2312" w:hAnsi="仿宋_GB2312" w:cs="仿宋_GB2312" w:hint="eastAsia"/>
          <w:sz w:val="32"/>
          <w:szCs w:val="32"/>
          <w:lang/>
        </w:rPr>
      </w:pPr>
      <w:r>
        <w:rPr>
          <w:rFonts w:ascii="方正楷体_GB2312" w:eastAsia="方正楷体_GB2312" w:hAnsi="方正楷体_GB2312" w:cs="方正楷体_GB2312" w:hint="eastAsia"/>
          <w:b/>
          <w:bCs/>
          <w:kern w:val="2"/>
          <w:sz w:val="32"/>
          <w:szCs w:val="32"/>
        </w:rPr>
        <w:t>二、统筹资源配置</w:t>
      </w:r>
      <w:r>
        <w:rPr>
          <w:rFonts w:ascii="仿宋_GB2312" w:eastAsia="仿宋_GB2312" w:hAnsi="仿宋_GB2312" w:cs="仿宋_GB2312" w:hint="eastAsia"/>
          <w:kern w:val="2"/>
          <w:sz w:val="32"/>
          <w:szCs w:val="32"/>
        </w:rPr>
        <w:t>。本目录联合教育、农业农村、商务、国资等相关行业主管部门，统筹考量各行业领域发展特点、人才培养规划以及各市产业布局与实际发展需求，全面梳理、系统整合全省范围内具备合法培训资质的机构资源，进一步优化培训资源配置结构，提升技能培训供给能力与服务标准化水平，为各行业高质量发展和劳动者技能提升提供坚</w:t>
      </w:r>
      <w:r>
        <w:rPr>
          <w:rFonts w:ascii="仿宋_GB2312" w:eastAsia="仿宋_GB2312" w:hAnsi="仿宋_GB2312" w:cs="仿宋_GB2312" w:hint="eastAsia"/>
          <w:sz w:val="32"/>
          <w:szCs w:val="32"/>
          <w:lang/>
        </w:rPr>
        <w:t>实保障。</w:t>
      </w:r>
    </w:p>
    <w:p w:rsidR="000E6D7D" w:rsidRDefault="000E6D7D" w:rsidP="000E6D7D">
      <w:pPr>
        <w:widowControl/>
        <w:ind w:firstLineChars="200" w:firstLine="640"/>
        <w:jc w:val="left"/>
        <w:rPr>
          <w:rFonts w:ascii="仿宋_GB2312" w:eastAsia="仿宋_GB2312" w:hAnsi="仿宋_GB2312" w:cs="仿宋_GB2312" w:hint="eastAsia"/>
          <w:kern w:val="0"/>
          <w:sz w:val="32"/>
          <w:szCs w:val="32"/>
          <w:lang/>
        </w:rPr>
      </w:pPr>
      <w:r>
        <w:rPr>
          <w:rFonts w:ascii="方正楷体_GB2312" w:eastAsia="方正楷体_GB2312" w:hAnsi="方正楷体_GB2312" w:cs="方正楷体_GB2312" w:hint="eastAsia"/>
          <w:b/>
          <w:bCs/>
          <w:kern w:val="0"/>
          <w:sz w:val="32"/>
          <w:szCs w:val="32"/>
          <w:lang/>
        </w:rPr>
        <w:lastRenderedPageBreak/>
        <w:t>三、信息公开便民</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lang/>
        </w:rPr>
        <w:t>本目录所涉培训机构信息，将在全省23000个就近办基层服务点“自助终端机”面向社会公开发布，实行动态更新管理，方便广大劳动者结合自身培训需求，就近自主选择培训机构参与培训，切实实现“就近可学、按需选学、便捷参训”。</w:t>
      </w:r>
    </w:p>
    <w:p w:rsidR="000E6D7D" w:rsidRDefault="000E6D7D" w:rsidP="000E6D7D">
      <w:pPr>
        <w:widowControl/>
        <w:ind w:firstLineChars="200" w:firstLine="640"/>
        <w:jc w:val="left"/>
        <w:rPr>
          <w:rFonts w:ascii="仿宋_GB2312" w:eastAsia="仿宋_GB2312" w:hAnsi="仿宋_GB2312" w:cs="仿宋_GB2312" w:hint="eastAsia"/>
          <w:kern w:val="0"/>
          <w:sz w:val="32"/>
          <w:szCs w:val="32"/>
          <w:lang/>
        </w:rPr>
      </w:pPr>
      <w:r>
        <w:rPr>
          <w:rFonts w:ascii="方正楷体_GB2312" w:eastAsia="方正楷体_GB2312" w:hAnsi="方正楷体_GB2312" w:cs="方正楷体_GB2312" w:hint="eastAsia"/>
          <w:b/>
          <w:bCs/>
          <w:kern w:val="0"/>
          <w:sz w:val="32"/>
          <w:szCs w:val="32"/>
          <w:lang/>
        </w:rPr>
        <w:t>四、强化数据共享</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lang/>
        </w:rPr>
        <w:t>本目录内培训机构需自愿接受人力资源社会保障部门的监督管理与业务指导，统一配置山西人社一体化系统服务终端，按年度如实、准确录入培训相关数据信息，该数据将作为机构入选下一年度目录清单的重要考核依据，实现全省培训资源通过信息化系统互联互通、共建共享。</w:t>
      </w:r>
    </w:p>
    <w:p w:rsidR="000E6D7D" w:rsidRDefault="000E6D7D" w:rsidP="000E6D7D">
      <w:pPr>
        <w:widowControl/>
        <w:ind w:firstLineChars="200" w:firstLine="640"/>
        <w:jc w:val="left"/>
        <w:rPr>
          <w:rFonts w:ascii="仿宋_GB2312" w:eastAsia="仿宋_GB2312" w:hAnsi="仿宋_GB2312" w:cs="仿宋_GB2312" w:hint="eastAsia"/>
          <w:kern w:val="0"/>
          <w:sz w:val="32"/>
          <w:szCs w:val="32"/>
          <w:lang/>
        </w:rPr>
      </w:pPr>
      <w:r>
        <w:rPr>
          <w:rFonts w:ascii="方正楷体_GB2312" w:eastAsia="方正楷体_GB2312" w:hAnsi="方正楷体_GB2312" w:cs="方正楷体_GB2312" w:hint="eastAsia"/>
          <w:b/>
          <w:bCs/>
          <w:kern w:val="0"/>
          <w:sz w:val="32"/>
          <w:szCs w:val="32"/>
          <w:lang/>
        </w:rPr>
        <w:t>五、赋能技能就业</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lang/>
        </w:rPr>
        <w:t>各人力资源社会保障部门、各有关单位要充分发挥职能优势、整合资源力量，以提升劳动者技能素质为核心目标，以“岗位需求+技能培训+技能评价+就业服务”四位一体模式为重要抓手，推动培训工作与产业发展同频、技能提升与岗位需求对接，增强培训工作的精准性、针对性和实效性，持续提升职业技能培训质量效能，促进劳动者实现高质量充分就业。</w:t>
      </w:r>
    </w:p>
    <w:p w:rsidR="000E6D7D" w:rsidRDefault="000E6D7D" w:rsidP="000E6D7D">
      <w:pPr>
        <w:widowControl/>
        <w:ind w:firstLineChars="200" w:firstLine="640"/>
        <w:jc w:val="left"/>
        <w:rPr>
          <w:rFonts w:ascii="仿宋_GB2312" w:eastAsia="仿宋_GB2312" w:hAnsi="仿宋_GB2312" w:cs="仿宋_GB2312" w:hint="eastAsia"/>
          <w:kern w:val="0"/>
          <w:sz w:val="32"/>
          <w:szCs w:val="32"/>
          <w:lang/>
        </w:rPr>
      </w:pPr>
      <w:r>
        <w:rPr>
          <w:rFonts w:ascii="方正楷体_GB2312" w:eastAsia="方正楷体_GB2312" w:hAnsi="方正楷体_GB2312" w:cs="方正楷体_GB2312" w:hint="eastAsia"/>
          <w:b/>
          <w:bCs/>
          <w:kern w:val="0"/>
          <w:sz w:val="32"/>
          <w:szCs w:val="32"/>
          <w:lang/>
        </w:rPr>
        <w:t>六、纳入年检指标</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lang/>
        </w:rPr>
        <w:t>全省各级人力资源和社会保障部门可将本目录内职业培训机构录入的培训数据，纳入机构年度年检考核指标体系。对未通过系统终端录入培训信息的机构，人力资源社会保障部门可作为年度年检不合格的重要依据。</w:t>
      </w:r>
    </w:p>
    <w:p w:rsidR="000E6D7D" w:rsidRDefault="000E6D7D" w:rsidP="000E6D7D">
      <w:pPr>
        <w:widowControl/>
        <w:ind w:firstLineChars="200" w:firstLine="640"/>
        <w:jc w:val="left"/>
        <w:rPr>
          <w:rFonts w:ascii="仿宋_GB2312" w:eastAsia="仿宋_GB2312" w:hAnsi="仿宋_GB2312" w:cs="仿宋_GB2312" w:hint="eastAsia"/>
          <w:kern w:val="0"/>
          <w:sz w:val="32"/>
          <w:szCs w:val="32"/>
          <w:lang/>
        </w:rPr>
      </w:pPr>
      <w:r>
        <w:rPr>
          <w:rFonts w:ascii="方正楷体_GB2312" w:eastAsia="方正楷体_GB2312" w:hAnsi="方正楷体_GB2312" w:cs="方正楷体_GB2312" w:hint="eastAsia"/>
          <w:b/>
          <w:bCs/>
          <w:kern w:val="0"/>
          <w:sz w:val="32"/>
          <w:szCs w:val="32"/>
          <w:lang/>
        </w:rPr>
        <w:lastRenderedPageBreak/>
        <w:t>七、政策资金支持</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lang/>
        </w:rPr>
        <w:t>全省各级人力资源和社会保障部门在安排政府各类职业技能补贴性培训任务时，需优先选用本目录清单内的培训机构；培训机构完成培训任务且达到验收标准后，可按规定申请政府补贴资金支持。</w:t>
      </w:r>
    </w:p>
    <w:p w:rsidR="000E6D7D" w:rsidRDefault="000E6D7D" w:rsidP="000E6D7D"/>
    <w:p w:rsidR="000E6D7D" w:rsidRDefault="000E6D7D" w:rsidP="000E6D7D">
      <w:pPr>
        <w:spacing w:line="600" w:lineRule="exact"/>
        <w:ind w:firstLineChars="200" w:firstLine="640"/>
        <w:rPr>
          <w:rFonts w:ascii="仿宋_GB2312" w:eastAsia="仿宋_GB2312" w:hAnsi="仿宋_GB2312" w:cs="仿宋_GB2312"/>
          <w:sz w:val="32"/>
          <w:szCs w:val="32"/>
        </w:rPr>
      </w:pPr>
    </w:p>
    <w:p w:rsidR="004F332C" w:rsidRPr="000E6D7D" w:rsidRDefault="004F332C"/>
    <w:sectPr w:rsidR="004F332C" w:rsidRPr="000E6D7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32C" w:rsidRDefault="004F332C" w:rsidP="000E6D7D">
      <w:r>
        <w:separator/>
      </w:r>
    </w:p>
  </w:endnote>
  <w:endnote w:type="continuationSeparator" w:id="1">
    <w:p w:rsidR="004F332C" w:rsidRDefault="004F332C" w:rsidP="000E6D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auto"/>
    <w:pitch w:val="default"/>
    <w:sig w:usb0="00000000" w:usb1="080E0000" w:usb2="00000000" w:usb3="00000000" w:csb0="00040000" w:csb1="00000000"/>
  </w:font>
  <w:font w:name="方正楷体_GB2312">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32C" w:rsidRDefault="004F332C" w:rsidP="000E6D7D">
      <w:r>
        <w:separator/>
      </w:r>
    </w:p>
  </w:footnote>
  <w:footnote w:type="continuationSeparator" w:id="1">
    <w:p w:rsidR="004F332C" w:rsidRDefault="004F332C" w:rsidP="000E6D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6D7D"/>
    <w:rsid w:val="000E6D7D"/>
    <w:rsid w:val="004F33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D7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6D7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E6D7D"/>
    <w:rPr>
      <w:sz w:val="18"/>
      <w:szCs w:val="18"/>
    </w:rPr>
  </w:style>
  <w:style w:type="paragraph" w:styleId="a4">
    <w:name w:val="footer"/>
    <w:basedOn w:val="a"/>
    <w:link w:val="Char0"/>
    <w:uiPriority w:val="99"/>
    <w:semiHidden/>
    <w:unhideWhenUsed/>
    <w:rsid w:val="000E6D7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E6D7D"/>
    <w:rPr>
      <w:sz w:val="18"/>
      <w:szCs w:val="18"/>
    </w:rPr>
  </w:style>
  <w:style w:type="paragraph" w:styleId="a5">
    <w:name w:val="Normal (Web)"/>
    <w:basedOn w:val="a"/>
    <w:qFormat/>
    <w:rsid w:val="000E6D7D"/>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2026-04-24T02:10:00Z</dcterms:created>
  <dcterms:modified xsi:type="dcterms:W3CDTF">2026-04-24T02:10:00Z</dcterms:modified>
</cp:coreProperties>
</file>