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09CB98">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Times New Roman" w:hAnsi="Times New Roman" w:eastAsia="方正小标宋简体"/>
          <w:color w:val="auto"/>
          <w:spacing w:val="-8"/>
          <w:sz w:val="32"/>
          <w:szCs w:val="32"/>
        </w:rPr>
      </w:pPr>
    </w:p>
    <w:p w14:paraId="186DB0EE">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仿宋_GB2312" w:hAnsi="仿宋_GB2312" w:eastAsia="仿宋_GB2312" w:cs="仿宋_GB2312"/>
          <w:color w:val="auto"/>
          <w:spacing w:val="-8"/>
          <w:sz w:val="32"/>
          <w:szCs w:val="32"/>
        </w:rPr>
      </w:pPr>
      <w:r>
        <w:rPr>
          <w:rFonts w:hint="eastAsia" w:ascii="仿宋_GB2312" w:hAnsi="仿宋_GB2312" w:eastAsia="仿宋_GB2312" w:cs="仿宋_GB2312"/>
          <w:color w:val="auto"/>
          <w:spacing w:val="-8"/>
          <w:sz w:val="32"/>
          <w:szCs w:val="32"/>
        </w:rPr>
        <w:t>鲁人社字〔202</w:t>
      </w:r>
      <w:r>
        <w:rPr>
          <w:rFonts w:hint="eastAsia" w:ascii="仿宋_GB2312" w:hAnsi="仿宋_GB2312" w:eastAsia="仿宋_GB2312" w:cs="仿宋_GB2312"/>
          <w:color w:val="auto"/>
          <w:spacing w:val="-8"/>
          <w:sz w:val="32"/>
          <w:szCs w:val="32"/>
          <w:lang w:val="en-US" w:eastAsia="zh-CN"/>
        </w:rPr>
        <w:t>6</w:t>
      </w:r>
      <w:r>
        <w:rPr>
          <w:rFonts w:hint="eastAsia" w:ascii="仿宋_GB2312" w:hAnsi="仿宋_GB2312" w:eastAsia="仿宋_GB2312" w:cs="仿宋_GB2312"/>
          <w:color w:val="auto"/>
          <w:spacing w:val="-8"/>
          <w:sz w:val="32"/>
          <w:szCs w:val="32"/>
        </w:rPr>
        <w:t>〕</w:t>
      </w:r>
      <w:r>
        <w:rPr>
          <w:rFonts w:hint="eastAsia" w:ascii="仿宋_GB2312" w:hAnsi="仿宋_GB2312" w:eastAsia="仿宋_GB2312" w:cs="仿宋_GB2312"/>
          <w:color w:val="auto"/>
          <w:spacing w:val="-8"/>
          <w:sz w:val="32"/>
          <w:szCs w:val="32"/>
          <w:lang w:val="en-US" w:eastAsia="zh-CN"/>
        </w:rPr>
        <w:t>18</w:t>
      </w:r>
      <w:r>
        <w:rPr>
          <w:rFonts w:hint="eastAsia" w:ascii="仿宋_GB2312" w:hAnsi="仿宋_GB2312" w:eastAsia="仿宋_GB2312" w:cs="仿宋_GB2312"/>
          <w:color w:val="auto"/>
          <w:spacing w:val="-8"/>
          <w:sz w:val="32"/>
          <w:szCs w:val="32"/>
        </w:rPr>
        <w:t>号</w:t>
      </w:r>
    </w:p>
    <w:p w14:paraId="13784BEA">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Times New Roman" w:hAnsi="Times New Roman" w:eastAsia="方正小标宋简体"/>
          <w:color w:val="auto"/>
          <w:spacing w:val="-8"/>
          <w:sz w:val="32"/>
          <w:szCs w:val="32"/>
        </w:rPr>
      </w:pPr>
      <w:bookmarkStart w:id="0" w:name="_GoBack"/>
      <w:bookmarkEnd w:id="0"/>
    </w:p>
    <w:p w14:paraId="2356524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山东省人力资源和社会保障厅等1</w:t>
      </w:r>
      <w:r>
        <w:rPr>
          <w:rFonts w:hint="eastAsia" w:ascii="方正小标宋简体" w:hAnsi="方正小标宋简体" w:eastAsia="方正小标宋简体" w:cs="方正小标宋简体"/>
          <w:color w:val="auto"/>
          <w:sz w:val="44"/>
          <w:szCs w:val="44"/>
          <w:lang w:val="en-US" w:eastAsia="zh"/>
        </w:rPr>
        <w:t>8</w:t>
      </w:r>
      <w:r>
        <w:rPr>
          <w:rFonts w:hint="eastAsia" w:ascii="方正小标宋简体" w:hAnsi="方正小标宋简体" w:eastAsia="方正小标宋简体" w:cs="方正小标宋简体"/>
          <w:color w:val="auto"/>
          <w:sz w:val="44"/>
          <w:szCs w:val="44"/>
          <w:lang w:val="en-US" w:eastAsia="zh-CN"/>
        </w:rPr>
        <w:t>部门印发</w:t>
      </w:r>
      <w:r>
        <w:rPr>
          <w:rFonts w:hint="eastAsia" w:ascii="方正小标宋简体" w:hAnsi="方正小标宋简体" w:eastAsia="方正小标宋简体" w:cs="方正小标宋简体"/>
          <w:color w:val="auto"/>
          <w:sz w:val="44"/>
          <w:szCs w:val="44"/>
          <w:lang w:val="en-US" w:eastAsia="zh-CN"/>
        </w:rPr>
        <w:br w:type="textWrapping"/>
      </w:r>
      <w:r>
        <w:rPr>
          <w:rFonts w:hint="eastAsia" w:ascii="方正小标宋简体" w:hAnsi="方正小标宋简体" w:eastAsia="方正小标宋简体" w:cs="方正小标宋简体"/>
          <w:color w:val="auto"/>
          <w:sz w:val="44"/>
          <w:szCs w:val="44"/>
          <w:lang w:val="en-US" w:eastAsia="zh-CN"/>
        </w:rPr>
        <w:t>《关于推动</w:t>
      </w:r>
      <w:r>
        <w:rPr>
          <w:rFonts w:hint="eastAsia" w:ascii="方正小标宋简体" w:hAnsi="方正小标宋简体" w:eastAsia="方正小标宋简体" w:cs="方正小标宋简体"/>
          <w:color w:val="auto"/>
          <w:sz w:val="44"/>
          <w:szCs w:val="44"/>
        </w:rPr>
        <w:t>灵活就业</w:t>
      </w:r>
      <w:r>
        <w:rPr>
          <w:rFonts w:hint="eastAsia" w:ascii="方正小标宋简体" w:hAnsi="方正小标宋简体" w:eastAsia="方正小标宋简体" w:cs="方正小标宋简体"/>
          <w:color w:val="auto"/>
          <w:sz w:val="44"/>
          <w:szCs w:val="44"/>
          <w:lang w:val="en-US" w:eastAsia="zh-CN"/>
        </w:rPr>
        <w:t>“向新向智向优向高”</w:t>
      </w:r>
      <w:r>
        <w:rPr>
          <w:rFonts w:hint="eastAsia" w:ascii="方正小标宋简体" w:hAnsi="方正小标宋简体" w:eastAsia="方正小标宋简体" w:cs="方正小标宋简体"/>
          <w:color w:val="auto"/>
          <w:sz w:val="44"/>
          <w:szCs w:val="44"/>
          <w:lang w:val="en-US" w:eastAsia="zh-CN"/>
        </w:rPr>
        <w:br w:type="textWrapping"/>
      </w:r>
      <w:r>
        <w:rPr>
          <w:rFonts w:hint="eastAsia" w:ascii="方正小标宋简体" w:hAnsi="方正小标宋简体" w:eastAsia="方正小标宋简体" w:cs="方正小标宋简体"/>
          <w:color w:val="auto"/>
          <w:sz w:val="44"/>
          <w:szCs w:val="44"/>
        </w:rPr>
        <w:t>健康发展</w:t>
      </w:r>
      <w:r>
        <w:rPr>
          <w:rFonts w:hint="eastAsia" w:ascii="方正小标宋简体" w:hAnsi="方正小标宋简体" w:eastAsia="方正小标宋简体" w:cs="方正小标宋简体"/>
          <w:color w:val="auto"/>
          <w:sz w:val="44"/>
          <w:szCs w:val="44"/>
          <w:lang w:eastAsia="zh"/>
        </w:rPr>
        <w:t>的</w:t>
      </w:r>
      <w:r>
        <w:rPr>
          <w:rFonts w:hint="eastAsia" w:ascii="方正小标宋简体" w:hAnsi="方正小标宋简体" w:eastAsia="方正小标宋简体" w:cs="方正小标宋简体"/>
          <w:color w:val="auto"/>
          <w:sz w:val="44"/>
          <w:szCs w:val="44"/>
          <w:lang w:val="en-US" w:eastAsia="zh-CN"/>
        </w:rPr>
        <w:t>行动方案》的通知</w:t>
      </w:r>
    </w:p>
    <w:p w14:paraId="28AFE39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公文小标宋" w:hAnsi="方正公文小标宋" w:eastAsia="方正公文小标宋" w:cs="方正公文小标宋"/>
          <w:color w:val="auto"/>
          <w:sz w:val="32"/>
          <w:szCs w:val="32"/>
          <w:lang w:val="en-US" w:eastAsia="zh-CN"/>
        </w:rPr>
      </w:pPr>
    </w:p>
    <w:p w14:paraId="6DBB70F4">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现将《关于推动</w:t>
      </w:r>
      <w:r>
        <w:rPr>
          <w:rFonts w:hint="eastAsia" w:ascii="仿宋_GB2312" w:hAnsi="仿宋_GB2312" w:eastAsia="仿宋_GB2312" w:cs="仿宋_GB2312"/>
          <w:color w:val="auto"/>
          <w:sz w:val="32"/>
          <w:szCs w:val="32"/>
        </w:rPr>
        <w:t>灵活就业</w:t>
      </w:r>
      <w:r>
        <w:rPr>
          <w:rFonts w:hint="eastAsia" w:ascii="仿宋_GB2312" w:hAnsi="仿宋_GB2312" w:eastAsia="仿宋_GB2312" w:cs="仿宋_GB2312"/>
          <w:color w:val="auto"/>
          <w:sz w:val="32"/>
          <w:szCs w:val="32"/>
          <w:lang w:val="en-US" w:eastAsia="zh-CN"/>
        </w:rPr>
        <w:t>“向新向智向优向高”</w:t>
      </w:r>
      <w:r>
        <w:rPr>
          <w:rFonts w:hint="eastAsia" w:ascii="仿宋_GB2312" w:hAnsi="仿宋_GB2312" w:eastAsia="仿宋_GB2312" w:cs="仿宋_GB2312"/>
          <w:color w:val="auto"/>
          <w:sz w:val="32"/>
          <w:szCs w:val="32"/>
        </w:rPr>
        <w:t>健康发展</w:t>
      </w:r>
      <w:r>
        <w:rPr>
          <w:rFonts w:hint="eastAsia" w:ascii="仿宋_GB2312" w:hAnsi="仿宋_GB2312" w:eastAsia="仿宋_GB2312" w:cs="仿宋_GB2312"/>
          <w:color w:val="auto"/>
          <w:sz w:val="32"/>
          <w:szCs w:val="32"/>
          <w:lang w:eastAsia="zh"/>
        </w:rPr>
        <w:t>的</w:t>
      </w:r>
      <w:r>
        <w:rPr>
          <w:rFonts w:hint="eastAsia" w:ascii="仿宋_GB2312" w:hAnsi="仿宋_GB2312" w:eastAsia="仿宋_GB2312" w:cs="仿宋_GB2312"/>
          <w:color w:val="auto"/>
          <w:sz w:val="32"/>
          <w:szCs w:val="32"/>
          <w:lang w:val="en-US" w:eastAsia="zh-CN"/>
        </w:rPr>
        <w:t>行动方案》印发给你们，请结合实际认真贯彻落实。</w:t>
      </w:r>
    </w:p>
    <w:p w14:paraId="1569FE89">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rPr>
          <w:rFonts w:hint="default" w:ascii="仿宋_GB2312" w:hAnsi="仿宋_GB2312" w:eastAsia="仿宋_GB2312" w:cs="仿宋_GB2312"/>
          <w:color w:val="auto"/>
          <w:sz w:val="32"/>
          <w:szCs w:val="32"/>
          <w:lang w:val="en-US" w:eastAsia="zh-CN"/>
        </w:rPr>
      </w:pPr>
    </w:p>
    <w:p w14:paraId="4706DE7C">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rPr>
          <w:rFonts w:hint="default" w:ascii="仿宋_GB2312" w:hAnsi="仿宋_GB2312" w:eastAsia="仿宋_GB2312" w:cs="仿宋_GB2312"/>
          <w:color w:val="auto"/>
          <w:sz w:val="32"/>
          <w:szCs w:val="32"/>
          <w:lang w:val="en-US" w:eastAsia="zh-CN"/>
        </w:rPr>
      </w:pP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987"/>
        <w:gridCol w:w="3125"/>
        <w:gridCol w:w="2948"/>
      </w:tblGrid>
      <w:tr w14:paraId="01D9A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87" w:type="dxa"/>
            <w:vAlign w:val="center"/>
          </w:tcPr>
          <w:p w14:paraId="20DC6B16">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eastAsia" w:ascii="仿宋_GB2312" w:hAnsi="仿宋_GB2312" w:eastAsia="仿宋_GB2312" w:cs="仿宋_GB2312"/>
                <w:color w:val="auto"/>
                <w:sz w:val="32"/>
                <w:szCs w:val="32"/>
                <w:vertAlign w:val="baseline"/>
                <w:lang w:val="en-US" w:eastAsia="zh"/>
              </w:rPr>
            </w:pPr>
            <w:r>
              <w:rPr>
                <w:rFonts w:hint="eastAsia" w:ascii="仿宋_GB2312" w:hAnsi="仿宋_GB2312" w:eastAsia="仿宋_GB2312" w:cs="仿宋_GB2312"/>
                <w:color w:val="auto"/>
                <w:sz w:val="32"/>
                <w:szCs w:val="32"/>
                <w:lang w:val="en-US" w:eastAsia="zh"/>
              </w:rPr>
              <w:t>山东省人力资源和社会保障</w:t>
            </w:r>
          </w:p>
        </w:tc>
        <w:tc>
          <w:tcPr>
            <w:tcW w:w="3125" w:type="dxa"/>
            <w:vAlign w:val="center"/>
          </w:tcPr>
          <w:p w14:paraId="246CA723">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eastAsia" w:ascii="仿宋_GB2312" w:hAnsi="仿宋_GB2312" w:eastAsia="仿宋_GB2312" w:cs="仿宋_GB2312"/>
                <w:color w:val="auto"/>
                <w:sz w:val="32"/>
                <w:szCs w:val="32"/>
                <w:vertAlign w:val="baseline"/>
                <w:lang w:val="en-US" w:eastAsia="zh"/>
              </w:rPr>
            </w:pPr>
            <w:r>
              <w:rPr>
                <w:rFonts w:hint="eastAsia" w:ascii="仿宋_GB2312" w:hAnsi="仿宋_GB2312" w:eastAsia="仿宋_GB2312" w:cs="仿宋_GB2312"/>
                <w:color w:val="auto"/>
                <w:sz w:val="32"/>
                <w:szCs w:val="32"/>
                <w:lang w:val="en-US" w:eastAsia="zh-CN"/>
              </w:rPr>
              <w:t>中共</w:t>
            </w:r>
            <w:r>
              <w:rPr>
                <w:rFonts w:hint="eastAsia" w:ascii="仿宋_GB2312" w:hAnsi="仿宋_GB2312" w:eastAsia="仿宋_GB2312" w:cs="仿宋_GB2312"/>
                <w:color w:val="auto"/>
                <w:sz w:val="32"/>
                <w:szCs w:val="32"/>
                <w:lang w:val="en-US" w:eastAsia="zh"/>
              </w:rPr>
              <w:t>山东</w:t>
            </w:r>
            <w:r>
              <w:rPr>
                <w:rFonts w:hint="eastAsia" w:ascii="仿宋_GB2312" w:hAnsi="仿宋_GB2312" w:eastAsia="仿宋_GB2312" w:cs="仿宋_GB2312"/>
                <w:color w:val="auto"/>
                <w:sz w:val="32"/>
                <w:szCs w:val="32"/>
                <w:lang w:val="en-US" w:eastAsia="zh-CN"/>
              </w:rPr>
              <w:t>省委宣传部</w:t>
            </w:r>
          </w:p>
        </w:tc>
        <w:tc>
          <w:tcPr>
            <w:tcW w:w="2948" w:type="dxa"/>
            <w:vAlign w:val="center"/>
          </w:tcPr>
          <w:p w14:paraId="46DE20D7">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仿宋_GB2312" w:hAnsi="仿宋_GB2312" w:eastAsia="仿宋_GB2312" w:cs="仿宋_GB2312"/>
                <w:color w:val="auto"/>
                <w:sz w:val="32"/>
                <w:szCs w:val="32"/>
                <w:vertAlign w:val="baseline"/>
                <w:lang w:val="en-US" w:eastAsia="zh"/>
              </w:rPr>
            </w:pPr>
            <w:r>
              <w:rPr>
                <w:rFonts w:hint="eastAsia" w:ascii="仿宋_GB2312" w:hAnsi="仿宋_GB2312" w:eastAsia="仿宋_GB2312" w:cs="仿宋_GB2312"/>
                <w:color w:val="auto"/>
                <w:sz w:val="32"/>
                <w:szCs w:val="32"/>
                <w:lang w:val="en-US" w:eastAsia="zh-CN"/>
              </w:rPr>
              <w:t>中共</w:t>
            </w:r>
            <w:r>
              <w:rPr>
                <w:rFonts w:hint="eastAsia" w:ascii="仿宋_GB2312" w:hAnsi="仿宋_GB2312" w:eastAsia="仿宋_GB2312" w:cs="仿宋_GB2312"/>
                <w:color w:val="auto"/>
                <w:sz w:val="32"/>
                <w:szCs w:val="32"/>
                <w:lang w:val="en-US" w:eastAsia="zh"/>
              </w:rPr>
              <w:t>山东</w:t>
            </w:r>
            <w:r>
              <w:rPr>
                <w:rFonts w:hint="eastAsia" w:ascii="仿宋_GB2312" w:hAnsi="仿宋_GB2312" w:eastAsia="仿宋_GB2312" w:cs="仿宋_GB2312"/>
                <w:color w:val="auto"/>
                <w:sz w:val="32"/>
                <w:szCs w:val="32"/>
                <w:lang w:val="en-US" w:eastAsia="zh-CN"/>
              </w:rPr>
              <w:t>省委社会</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工作部</w:t>
            </w:r>
          </w:p>
        </w:tc>
      </w:tr>
    </w:tbl>
    <w:p w14:paraId="3C9532CB">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right"/>
        <w:textAlignment w:val="auto"/>
        <w:rPr>
          <w:rFonts w:hint="eastAsia" w:ascii="仿宋_GB2312" w:hAnsi="仿宋_GB2312" w:eastAsia="仿宋_GB2312" w:cs="仿宋_GB2312"/>
          <w:color w:val="auto"/>
          <w:sz w:val="32"/>
          <w:szCs w:val="32"/>
          <w:lang w:val="en-US" w:eastAsia="zh-CN"/>
        </w:rPr>
      </w:pPr>
    </w:p>
    <w:p w14:paraId="6F33FEC8">
      <w:pPr>
        <w:pStyle w:val="2"/>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rPr>
          <w:rFonts w:hint="eastAsia" w:ascii="仿宋_GB2312" w:hAnsi="仿宋_GB2312" w:eastAsia="仿宋_GB2312" w:cs="仿宋_GB2312"/>
          <w:color w:val="auto"/>
          <w:sz w:val="32"/>
          <w:szCs w:val="32"/>
          <w:lang w:val="en-US" w:eastAsia="zh-CN"/>
        </w:rPr>
      </w:pP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14:paraId="727F4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vAlign w:val="center"/>
          </w:tcPr>
          <w:p w14:paraId="4155120B">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eastAsia" w:ascii="仿宋_GB2312" w:hAnsi="仿宋_GB2312" w:eastAsia="仿宋_GB2312" w:cs="仿宋_GB2312"/>
                <w:color w:val="auto"/>
                <w:sz w:val="32"/>
                <w:szCs w:val="32"/>
                <w:vertAlign w:val="baseline"/>
                <w:lang w:val="en-US" w:eastAsia="zh"/>
              </w:rPr>
            </w:pPr>
            <w:r>
              <w:rPr>
                <w:rFonts w:hint="eastAsia" w:ascii="仿宋_GB2312" w:hAnsi="仿宋_GB2312" w:eastAsia="仿宋_GB2312" w:cs="仿宋_GB2312"/>
                <w:color w:val="auto"/>
                <w:sz w:val="32"/>
                <w:szCs w:val="32"/>
                <w:lang w:val="en-US" w:eastAsia="zh"/>
              </w:rPr>
              <w:t>山东</w:t>
            </w:r>
            <w:r>
              <w:rPr>
                <w:rFonts w:hint="eastAsia" w:ascii="仿宋_GB2312" w:hAnsi="仿宋_GB2312" w:eastAsia="仿宋_GB2312" w:cs="仿宋_GB2312"/>
                <w:color w:val="auto"/>
                <w:sz w:val="32"/>
                <w:szCs w:val="32"/>
                <w:lang w:val="en-US" w:eastAsia="zh-CN"/>
              </w:rPr>
              <w:t>省发展和改革委员会</w:t>
            </w:r>
          </w:p>
        </w:tc>
        <w:tc>
          <w:tcPr>
            <w:tcW w:w="3020" w:type="dxa"/>
            <w:vAlign w:val="center"/>
          </w:tcPr>
          <w:p w14:paraId="04C4581B">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eastAsia" w:ascii="仿宋_GB2312" w:hAnsi="仿宋_GB2312" w:eastAsia="仿宋_GB2312" w:cs="仿宋_GB2312"/>
                <w:color w:val="auto"/>
                <w:sz w:val="32"/>
                <w:szCs w:val="32"/>
                <w:vertAlign w:val="baseline"/>
                <w:lang w:val="en-US" w:eastAsia="zh"/>
              </w:rPr>
            </w:pPr>
            <w:r>
              <w:rPr>
                <w:rFonts w:hint="eastAsia" w:ascii="仿宋_GB2312" w:hAnsi="仿宋_GB2312" w:eastAsia="仿宋_GB2312" w:cs="仿宋_GB2312"/>
                <w:color w:val="auto"/>
                <w:sz w:val="32"/>
                <w:szCs w:val="32"/>
                <w:lang w:val="en-US" w:eastAsia="zh"/>
              </w:rPr>
              <w:t>山东</w:t>
            </w:r>
            <w:r>
              <w:rPr>
                <w:rFonts w:hint="eastAsia" w:ascii="仿宋_GB2312" w:hAnsi="仿宋_GB2312" w:eastAsia="仿宋_GB2312" w:cs="仿宋_GB2312"/>
                <w:color w:val="auto"/>
                <w:sz w:val="32"/>
                <w:szCs w:val="32"/>
                <w:lang w:val="en-US" w:eastAsia="zh-CN"/>
              </w:rPr>
              <w:t>省教育厅</w:t>
            </w:r>
          </w:p>
        </w:tc>
        <w:tc>
          <w:tcPr>
            <w:tcW w:w="3020" w:type="dxa"/>
            <w:vAlign w:val="center"/>
          </w:tcPr>
          <w:p w14:paraId="440F5DAF">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仿宋_GB2312" w:hAnsi="仿宋_GB2312" w:eastAsia="仿宋_GB2312" w:cs="仿宋_GB2312"/>
                <w:color w:val="auto"/>
                <w:sz w:val="32"/>
                <w:szCs w:val="32"/>
                <w:vertAlign w:val="baseline"/>
                <w:lang w:val="en-US" w:eastAsia="zh"/>
              </w:rPr>
            </w:pPr>
            <w:r>
              <w:rPr>
                <w:rFonts w:hint="eastAsia" w:ascii="仿宋_GB2312" w:hAnsi="仿宋_GB2312" w:eastAsia="仿宋_GB2312" w:cs="仿宋_GB2312"/>
                <w:color w:val="auto"/>
                <w:sz w:val="32"/>
                <w:szCs w:val="32"/>
                <w:lang w:val="en-US" w:eastAsia="zh"/>
              </w:rPr>
              <w:t>山东</w:t>
            </w:r>
            <w:r>
              <w:rPr>
                <w:rFonts w:hint="eastAsia" w:ascii="仿宋_GB2312" w:hAnsi="仿宋_GB2312" w:eastAsia="仿宋_GB2312" w:cs="仿宋_GB2312"/>
                <w:color w:val="auto"/>
                <w:sz w:val="32"/>
                <w:szCs w:val="32"/>
                <w:lang w:val="en-US" w:eastAsia="zh-CN"/>
              </w:rPr>
              <w:t>省工业和</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信息化厅</w:t>
            </w:r>
          </w:p>
        </w:tc>
      </w:tr>
    </w:tbl>
    <w:p w14:paraId="0D8381D2">
      <w:pPr>
        <w:pStyle w:val="3"/>
        <w:keepNext w:val="0"/>
        <w:keepLines w:val="0"/>
        <w:pageBreakBefore w:val="0"/>
        <w:widowControl w:val="0"/>
        <w:kinsoku/>
        <w:wordWrap/>
        <w:overflowPunct/>
        <w:topLinePunct w:val="0"/>
        <w:autoSpaceDE/>
        <w:autoSpaceDN/>
        <w:bidi w:val="0"/>
        <w:adjustRightInd/>
        <w:snapToGrid/>
        <w:spacing w:after="0" w:line="580" w:lineRule="exact"/>
        <w:ind w:left="0" w:leftChars="0" w:right="0" w:rightChars="0" w:firstLine="0" w:firstLineChars="0"/>
        <w:textAlignment w:val="auto"/>
        <w:rPr>
          <w:rFonts w:hint="eastAsia"/>
          <w:color w:val="auto"/>
          <w:lang w:val="en-US" w:eastAsia="zh-CN"/>
        </w:rPr>
      </w:pPr>
    </w:p>
    <w:p w14:paraId="7D95E1DB">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rPr>
          <w:rFonts w:hint="eastAsia" w:ascii="仿宋_GB2312" w:hAnsi="仿宋_GB2312" w:eastAsia="仿宋_GB2312" w:cs="仿宋_GB2312"/>
          <w:color w:val="auto"/>
          <w:sz w:val="32"/>
          <w:szCs w:val="32"/>
          <w:lang w:val="en-US" w:eastAsia="zh-CN"/>
        </w:rPr>
      </w:pP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14:paraId="0AD0D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vAlign w:val="center"/>
          </w:tcPr>
          <w:p w14:paraId="3C7FEBB3">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eastAsia" w:ascii="仿宋_GB2312" w:hAnsi="仿宋_GB2312" w:eastAsia="仿宋_GB2312" w:cs="仿宋_GB2312"/>
                <w:color w:val="auto"/>
                <w:sz w:val="32"/>
                <w:szCs w:val="32"/>
                <w:vertAlign w:val="baseline"/>
                <w:lang w:val="en-US" w:eastAsia="zh"/>
              </w:rPr>
            </w:pPr>
            <w:r>
              <w:rPr>
                <w:rFonts w:hint="eastAsia" w:ascii="仿宋_GB2312" w:hAnsi="仿宋_GB2312" w:eastAsia="仿宋_GB2312" w:cs="仿宋_GB2312"/>
                <w:color w:val="auto"/>
                <w:sz w:val="32"/>
                <w:szCs w:val="32"/>
                <w:lang w:val="en-US" w:eastAsia="zh"/>
              </w:rPr>
              <w:t>山东</w:t>
            </w:r>
            <w:r>
              <w:rPr>
                <w:rFonts w:hint="eastAsia" w:ascii="仿宋_GB2312" w:hAnsi="仿宋_GB2312" w:eastAsia="仿宋_GB2312" w:cs="仿宋_GB2312"/>
                <w:color w:val="auto"/>
                <w:sz w:val="32"/>
                <w:szCs w:val="32"/>
                <w:lang w:val="en-US" w:eastAsia="zh-CN"/>
              </w:rPr>
              <w:t>省财政厅</w:t>
            </w:r>
          </w:p>
        </w:tc>
        <w:tc>
          <w:tcPr>
            <w:tcW w:w="3020" w:type="dxa"/>
            <w:vAlign w:val="center"/>
          </w:tcPr>
          <w:p w14:paraId="34162367">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eastAsia" w:ascii="仿宋_GB2312" w:hAnsi="仿宋_GB2312" w:eastAsia="仿宋_GB2312" w:cs="仿宋_GB2312"/>
                <w:color w:val="auto"/>
                <w:sz w:val="32"/>
                <w:szCs w:val="32"/>
                <w:vertAlign w:val="baseline"/>
                <w:lang w:val="en-US" w:eastAsia="zh"/>
              </w:rPr>
            </w:pPr>
            <w:r>
              <w:rPr>
                <w:rFonts w:hint="eastAsia" w:ascii="仿宋_GB2312" w:hAnsi="仿宋_GB2312" w:eastAsia="仿宋_GB2312" w:cs="仿宋_GB2312"/>
                <w:color w:val="auto"/>
                <w:sz w:val="32"/>
                <w:szCs w:val="32"/>
                <w:lang w:val="en-US" w:eastAsia="zh"/>
              </w:rPr>
              <w:t>山东</w:t>
            </w:r>
            <w:r>
              <w:rPr>
                <w:rFonts w:hint="eastAsia" w:ascii="仿宋_GB2312" w:hAnsi="仿宋_GB2312" w:eastAsia="仿宋_GB2312" w:cs="仿宋_GB2312"/>
                <w:color w:val="auto"/>
                <w:sz w:val="32"/>
                <w:szCs w:val="32"/>
                <w:lang w:val="en-US" w:eastAsia="zh-CN"/>
              </w:rPr>
              <w:t>省住房</w:t>
            </w:r>
            <w:r>
              <w:rPr>
                <w:rFonts w:hint="eastAsia" w:ascii="仿宋_GB2312" w:hAnsi="仿宋_GB2312" w:eastAsia="仿宋_GB2312" w:cs="仿宋_GB2312"/>
                <w:color w:val="auto"/>
                <w:sz w:val="32"/>
                <w:szCs w:val="32"/>
                <w:lang w:val="en-US" w:eastAsia="zh"/>
              </w:rPr>
              <w:t>和</w:t>
            </w:r>
            <w:r>
              <w:rPr>
                <w:rFonts w:hint="eastAsia" w:ascii="仿宋_GB2312" w:hAnsi="仿宋_GB2312" w:eastAsia="仿宋_GB2312" w:cs="仿宋_GB2312"/>
                <w:color w:val="auto"/>
                <w:sz w:val="32"/>
                <w:szCs w:val="32"/>
                <w:lang w:val="en-US" w:eastAsia="zh-CN"/>
              </w:rPr>
              <w:t>城乡建设厅</w:t>
            </w:r>
          </w:p>
        </w:tc>
        <w:tc>
          <w:tcPr>
            <w:tcW w:w="3020" w:type="dxa"/>
            <w:vAlign w:val="center"/>
          </w:tcPr>
          <w:p w14:paraId="6EB2CBDB">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仿宋_GB2312" w:hAnsi="仿宋_GB2312" w:eastAsia="仿宋_GB2312" w:cs="仿宋_GB2312"/>
                <w:color w:val="auto"/>
                <w:sz w:val="32"/>
                <w:szCs w:val="32"/>
                <w:vertAlign w:val="baseline"/>
                <w:lang w:val="en-US" w:eastAsia="zh"/>
              </w:rPr>
            </w:pPr>
            <w:r>
              <w:rPr>
                <w:rFonts w:hint="eastAsia" w:ascii="仿宋_GB2312" w:hAnsi="仿宋_GB2312" w:eastAsia="仿宋_GB2312" w:cs="仿宋_GB2312"/>
                <w:color w:val="auto"/>
                <w:sz w:val="32"/>
                <w:szCs w:val="32"/>
                <w:lang w:val="en-US" w:eastAsia="zh"/>
              </w:rPr>
              <w:t>山东</w:t>
            </w:r>
            <w:r>
              <w:rPr>
                <w:rFonts w:hint="eastAsia" w:ascii="仿宋_GB2312" w:hAnsi="仿宋_GB2312" w:eastAsia="仿宋_GB2312" w:cs="仿宋_GB2312"/>
                <w:color w:val="auto"/>
                <w:sz w:val="32"/>
                <w:szCs w:val="32"/>
                <w:lang w:val="en-US" w:eastAsia="zh-CN"/>
              </w:rPr>
              <w:t>省交通运输厅</w:t>
            </w:r>
          </w:p>
        </w:tc>
      </w:tr>
    </w:tbl>
    <w:p w14:paraId="49E28CA3">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rPr>
          <w:rFonts w:hint="eastAsia" w:ascii="仿宋_GB2312" w:hAnsi="仿宋_GB2312" w:eastAsia="仿宋_GB2312" w:cs="仿宋_GB2312"/>
          <w:color w:val="auto"/>
          <w:sz w:val="32"/>
          <w:szCs w:val="32"/>
          <w:lang w:val="en-US" w:eastAsia="zh-CN"/>
        </w:rPr>
      </w:pPr>
    </w:p>
    <w:p w14:paraId="5D074B18">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rPr>
          <w:rFonts w:hint="eastAsia" w:ascii="仿宋_GB2312" w:hAnsi="仿宋_GB2312" w:eastAsia="仿宋_GB2312" w:cs="仿宋_GB2312"/>
          <w:color w:val="auto"/>
          <w:sz w:val="32"/>
          <w:szCs w:val="32"/>
          <w:lang w:val="en-US" w:eastAsia="zh"/>
        </w:rPr>
      </w:pP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14:paraId="5B1B8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vAlign w:val="center"/>
          </w:tcPr>
          <w:p w14:paraId="0DE3446F">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eastAsia" w:ascii="仿宋_GB2312" w:hAnsi="仿宋_GB2312" w:eastAsia="仿宋_GB2312" w:cs="仿宋_GB2312"/>
                <w:color w:val="auto"/>
                <w:sz w:val="32"/>
                <w:szCs w:val="32"/>
                <w:vertAlign w:val="baseline"/>
                <w:lang w:val="en-US" w:eastAsia="zh"/>
              </w:rPr>
            </w:pPr>
            <w:r>
              <w:rPr>
                <w:rFonts w:hint="eastAsia" w:ascii="仿宋_GB2312" w:hAnsi="仿宋_GB2312" w:eastAsia="仿宋_GB2312" w:cs="仿宋_GB2312"/>
                <w:color w:val="auto"/>
                <w:sz w:val="32"/>
                <w:szCs w:val="32"/>
                <w:lang w:val="en-US" w:eastAsia="zh"/>
              </w:rPr>
              <w:t>山东</w:t>
            </w:r>
            <w:r>
              <w:rPr>
                <w:rFonts w:hint="eastAsia" w:ascii="仿宋_GB2312" w:hAnsi="仿宋_GB2312" w:eastAsia="仿宋_GB2312" w:cs="仿宋_GB2312"/>
                <w:color w:val="auto"/>
                <w:sz w:val="32"/>
                <w:szCs w:val="32"/>
                <w:lang w:val="en-US" w:eastAsia="zh-CN"/>
              </w:rPr>
              <w:t>省农业农村厅</w:t>
            </w:r>
          </w:p>
        </w:tc>
        <w:tc>
          <w:tcPr>
            <w:tcW w:w="3020" w:type="dxa"/>
            <w:vAlign w:val="center"/>
          </w:tcPr>
          <w:p w14:paraId="352E1B43">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eastAsia" w:ascii="仿宋_GB2312" w:hAnsi="仿宋_GB2312" w:eastAsia="仿宋_GB2312" w:cs="仿宋_GB2312"/>
                <w:color w:val="auto"/>
                <w:sz w:val="32"/>
                <w:szCs w:val="32"/>
                <w:vertAlign w:val="baseline"/>
                <w:lang w:val="en-US" w:eastAsia="zh"/>
              </w:rPr>
            </w:pPr>
            <w:r>
              <w:rPr>
                <w:rFonts w:hint="eastAsia" w:ascii="仿宋_GB2312" w:hAnsi="仿宋_GB2312" w:eastAsia="仿宋_GB2312" w:cs="仿宋_GB2312"/>
                <w:color w:val="auto"/>
                <w:sz w:val="32"/>
                <w:szCs w:val="32"/>
                <w:lang w:val="en-US" w:eastAsia="zh"/>
              </w:rPr>
              <w:t>山东</w:t>
            </w:r>
            <w:r>
              <w:rPr>
                <w:rFonts w:hint="eastAsia" w:ascii="仿宋_GB2312" w:hAnsi="仿宋_GB2312" w:eastAsia="仿宋_GB2312" w:cs="仿宋_GB2312"/>
                <w:color w:val="auto"/>
                <w:sz w:val="32"/>
                <w:szCs w:val="32"/>
                <w:lang w:val="en-US" w:eastAsia="zh-CN"/>
              </w:rPr>
              <w:t>省商务厅</w:t>
            </w:r>
          </w:p>
        </w:tc>
        <w:tc>
          <w:tcPr>
            <w:tcW w:w="3020" w:type="dxa"/>
            <w:vAlign w:val="center"/>
          </w:tcPr>
          <w:p w14:paraId="09CDAEE3">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仿宋_GB2312" w:hAnsi="仿宋_GB2312" w:eastAsia="仿宋_GB2312" w:cs="仿宋_GB2312"/>
                <w:color w:val="auto"/>
                <w:sz w:val="32"/>
                <w:szCs w:val="32"/>
                <w:vertAlign w:val="baseline"/>
                <w:lang w:val="en-US" w:eastAsia="zh"/>
              </w:rPr>
            </w:pPr>
            <w:r>
              <w:rPr>
                <w:rFonts w:hint="eastAsia" w:ascii="仿宋_GB2312" w:hAnsi="仿宋_GB2312" w:eastAsia="仿宋_GB2312" w:cs="仿宋_GB2312"/>
                <w:color w:val="auto"/>
                <w:sz w:val="32"/>
                <w:szCs w:val="32"/>
                <w:lang w:val="en-US" w:eastAsia="zh"/>
              </w:rPr>
              <w:t>山东</w:t>
            </w:r>
            <w:r>
              <w:rPr>
                <w:rFonts w:hint="eastAsia" w:ascii="仿宋_GB2312" w:hAnsi="仿宋_GB2312" w:eastAsia="仿宋_GB2312" w:cs="仿宋_GB2312"/>
                <w:color w:val="auto"/>
                <w:sz w:val="32"/>
                <w:szCs w:val="32"/>
                <w:lang w:val="en-US" w:eastAsia="zh-CN"/>
              </w:rPr>
              <w:t>省卫生健康</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
              </w:rPr>
              <w:t>委员会</w:t>
            </w:r>
          </w:p>
        </w:tc>
      </w:tr>
    </w:tbl>
    <w:p w14:paraId="52FDE2B7">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rPr>
          <w:rFonts w:hint="eastAsia" w:ascii="仿宋_GB2312" w:hAnsi="仿宋_GB2312" w:eastAsia="仿宋_GB2312" w:cs="仿宋_GB2312"/>
          <w:color w:val="auto"/>
          <w:sz w:val="32"/>
          <w:szCs w:val="32"/>
          <w:lang w:val="en-US" w:eastAsia="zh-CN"/>
        </w:rPr>
      </w:pPr>
    </w:p>
    <w:p w14:paraId="3A107CE8">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rPr>
          <w:rFonts w:hint="eastAsia" w:ascii="仿宋_GB2312" w:hAnsi="仿宋_GB2312" w:eastAsia="仿宋_GB2312" w:cs="仿宋_GB2312"/>
          <w:color w:val="auto"/>
          <w:sz w:val="32"/>
          <w:szCs w:val="32"/>
          <w:lang w:val="en-US" w:eastAsia="zh"/>
        </w:rPr>
      </w:pP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14:paraId="6F742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vAlign w:val="center"/>
          </w:tcPr>
          <w:p w14:paraId="40DE8B26">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eastAsia" w:ascii="仿宋_GB2312" w:hAnsi="仿宋_GB2312" w:eastAsia="仿宋_GB2312" w:cs="仿宋_GB2312"/>
                <w:color w:val="auto"/>
                <w:sz w:val="32"/>
                <w:szCs w:val="32"/>
                <w:vertAlign w:val="baseline"/>
                <w:lang w:val="en-US" w:eastAsia="zh"/>
              </w:rPr>
            </w:pPr>
            <w:r>
              <w:rPr>
                <w:rFonts w:hint="eastAsia" w:ascii="仿宋_GB2312" w:hAnsi="仿宋_GB2312" w:eastAsia="仿宋_GB2312" w:cs="仿宋_GB2312"/>
                <w:color w:val="auto"/>
                <w:sz w:val="32"/>
                <w:szCs w:val="32"/>
                <w:lang w:val="en-US" w:eastAsia="zh"/>
              </w:rPr>
              <w:t>山东</w:t>
            </w:r>
            <w:r>
              <w:rPr>
                <w:rFonts w:hint="eastAsia" w:ascii="仿宋_GB2312" w:hAnsi="仿宋_GB2312" w:eastAsia="仿宋_GB2312" w:cs="仿宋_GB2312"/>
                <w:color w:val="auto"/>
                <w:sz w:val="32"/>
                <w:szCs w:val="32"/>
                <w:lang w:val="en-US" w:eastAsia="zh-CN"/>
              </w:rPr>
              <w:t>省市场</w:t>
            </w:r>
            <w:r>
              <w:rPr>
                <w:rFonts w:hint="eastAsia" w:ascii="仿宋_GB2312" w:hAnsi="仿宋_GB2312" w:eastAsia="仿宋_GB2312" w:cs="仿宋_GB2312"/>
                <w:color w:val="auto"/>
                <w:sz w:val="32"/>
                <w:szCs w:val="32"/>
                <w:lang w:val="en-US" w:eastAsia="zh"/>
              </w:rPr>
              <w:t>监督</w:t>
            </w:r>
            <w:r>
              <w:rPr>
                <w:rFonts w:hint="eastAsia" w:ascii="仿宋_GB2312" w:hAnsi="仿宋_GB2312" w:eastAsia="仿宋_GB2312" w:cs="仿宋_GB2312"/>
                <w:color w:val="auto"/>
                <w:sz w:val="32"/>
                <w:szCs w:val="32"/>
                <w:lang w:val="en-US" w:eastAsia="zh"/>
              </w:rPr>
              <w:br w:type="textWrapping"/>
            </w:r>
            <w:r>
              <w:rPr>
                <w:rFonts w:hint="eastAsia" w:ascii="仿宋_GB2312" w:hAnsi="仿宋_GB2312" w:eastAsia="仿宋_GB2312" w:cs="仿宋_GB2312"/>
                <w:color w:val="auto"/>
                <w:sz w:val="32"/>
                <w:szCs w:val="32"/>
                <w:lang w:val="en-US" w:eastAsia="zh"/>
              </w:rPr>
              <w:t>管理</w:t>
            </w:r>
            <w:r>
              <w:rPr>
                <w:rFonts w:hint="eastAsia" w:ascii="仿宋_GB2312" w:hAnsi="仿宋_GB2312" w:eastAsia="仿宋_GB2312" w:cs="仿宋_GB2312"/>
                <w:color w:val="auto"/>
                <w:sz w:val="32"/>
                <w:szCs w:val="32"/>
                <w:lang w:val="en-US" w:eastAsia="zh-CN"/>
              </w:rPr>
              <w:t>局</w:t>
            </w:r>
          </w:p>
        </w:tc>
        <w:tc>
          <w:tcPr>
            <w:tcW w:w="3020" w:type="dxa"/>
            <w:vAlign w:val="center"/>
          </w:tcPr>
          <w:p w14:paraId="4D08E30A">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eastAsia" w:ascii="仿宋_GB2312" w:hAnsi="仿宋_GB2312" w:eastAsia="仿宋_GB2312" w:cs="仿宋_GB2312"/>
                <w:color w:val="auto"/>
                <w:sz w:val="32"/>
                <w:szCs w:val="32"/>
                <w:vertAlign w:val="baseline"/>
                <w:lang w:val="en-US" w:eastAsia="zh"/>
              </w:rPr>
            </w:pPr>
            <w:r>
              <w:rPr>
                <w:rFonts w:hint="eastAsia" w:ascii="仿宋_GB2312" w:hAnsi="仿宋_GB2312" w:eastAsia="仿宋_GB2312" w:cs="仿宋_GB2312"/>
                <w:color w:val="auto"/>
                <w:sz w:val="32"/>
                <w:szCs w:val="32"/>
                <w:lang w:val="en-US" w:eastAsia="zh"/>
              </w:rPr>
              <w:t>山东</w:t>
            </w:r>
            <w:r>
              <w:rPr>
                <w:rFonts w:hint="eastAsia" w:ascii="仿宋_GB2312" w:hAnsi="仿宋_GB2312" w:eastAsia="仿宋_GB2312" w:cs="仿宋_GB2312"/>
                <w:color w:val="auto"/>
                <w:sz w:val="32"/>
                <w:szCs w:val="32"/>
                <w:lang w:val="en-US" w:eastAsia="zh-CN"/>
              </w:rPr>
              <w:t>省</w:t>
            </w:r>
            <w:r>
              <w:rPr>
                <w:rFonts w:hint="eastAsia" w:ascii="仿宋_GB2312" w:hAnsi="仿宋_GB2312" w:eastAsia="仿宋_GB2312" w:cs="仿宋_GB2312"/>
                <w:color w:val="auto"/>
                <w:sz w:val="32"/>
                <w:szCs w:val="32"/>
                <w:lang w:val="en-US" w:eastAsia="zh"/>
              </w:rPr>
              <w:t>医疗保障</w:t>
            </w:r>
            <w:r>
              <w:rPr>
                <w:rFonts w:hint="eastAsia" w:ascii="仿宋_GB2312" w:hAnsi="仿宋_GB2312" w:eastAsia="仿宋_GB2312" w:cs="仿宋_GB2312"/>
                <w:color w:val="auto"/>
                <w:sz w:val="32"/>
                <w:szCs w:val="32"/>
                <w:lang w:val="en-US" w:eastAsia="zh-CN"/>
              </w:rPr>
              <w:t>局</w:t>
            </w:r>
          </w:p>
        </w:tc>
        <w:tc>
          <w:tcPr>
            <w:tcW w:w="3020" w:type="dxa"/>
            <w:vAlign w:val="center"/>
          </w:tcPr>
          <w:p w14:paraId="016F4A62">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仿宋_GB2312" w:hAnsi="仿宋_GB2312" w:eastAsia="仿宋_GB2312" w:cs="仿宋_GB2312"/>
                <w:color w:val="auto"/>
                <w:sz w:val="32"/>
                <w:szCs w:val="32"/>
                <w:vertAlign w:val="baseline"/>
                <w:lang w:val="en-US" w:eastAsia="zh"/>
              </w:rPr>
            </w:pPr>
            <w:r>
              <w:rPr>
                <w:rFonts w:hint="eastAsia" w:ascii="仿宋_GB2312" w:hAnsi="仿宋_GB2312" w:eastAsia="仿宋_GB2312" w:cs="仿宋_GB2312"/>
                <w:color w:val="auto"/>
                <w:sz w:val="32"/>
                <w:szCs w:val="32"/>
                <w:lang w:val="en-US" w:eastAsia="zh"/>
              </w:rPr>
              <w:t>山东</w:t>
            </w:r>
            <w:r>
              <w:rPr>
                <w:rFonts w:hint="eastAsia" w:ascii="仿宋_GB2312" w:hAnsi="仿宋_GB2312" w:eastAsia="仿宋_GB2312" w:cs="仿宋_GB2312"/>
                <w:color w:val="auto"/>
                <w:sz w:val="32"/>
                <w:szCs w:val="32"/>
                <w:lang w:val="en-US" w:eastAsia="zh-CN"/>
              </w:rPr>
              <w:t>省大数据局</w:t>
            </w:r>
          </w:p>
        </w:tc>
      </w:tr>
    </w:tbl>
    <w:p w14:paraId="4A47DBEE">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rPr>
          <w:rFonts w:hint="eastAsia" w:ascii="仿宋_GB2312" w:hAnsi="仿宋_GB2312" w:eastAsia="仿宋_GB2312" w:cs="仿宋_GB2312"/>
          <w:color w:val="auto"/>
          <w:sz w:val="32"/>
          <w:szCs w:val="32"/>
          <w:lang w:val="en-US" w:eastAsia="zh"/>
        </w:rPr>
      </w:pPr>
    </w:p>
    <w:p w14:paraId="142307BE">
      <w:pPr>
        <w:pStyle w:val="2"/>
        <w:rPr>
          <w:rFonts w:hint="eastAsia" w:ascii="仿宋_GB2312" w:hAnsi="仿宋_GB2312" w:eastAsia="仿宋_GB2312" w:cs="仿宋_GB2312"/>
          <w:color w:val="auto"/>
          <w:sz w:val="32"/>
          <w:szCs w:val="32"/>
          <w:lang w:val="en-US" w:eastAsia="zh"/>
        </w:rPr>
      </w:pPr>
    </w:p>
    <w:p w14:paraId="35F7FCEE">
      <w:pPr>
        <w:pStyle w:val="2"/>
        <w:rPr>
          <w:rFonts w:hint="eastAsia" w:ascii="仿宋_GB2312" w:hAnsi="仿宋_GB2312" w:eastAsia="仿宋_GB2312" w:cs="仿宋_GB2312"/>
          <w:color w:val="auto"/>
          <w:sz w:val="32"/>
          <w:szCs w:val="32"/>
          <w:lang w:val="en-US" w:eastAsia="zh"/>
        </w:rPr>
      </w:pP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1510"/>
        <w:gridCol w:w="1510"/>
        <w:gridCol w:w="3020"/>
      </w:tblGrid>
      <w:tr w14:paraId="3E423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vAlign w:val="center"/>
          </w:tcPr>
          <w:p w14:paraId="5E325FC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_GB2312" w:hAnsi="仿宋_GB2312" w:eastAsia="仿宋_GB2312" w:cs="仿宋_GB2312"/>
                <w:color w:val="auto"/>
                <w:sz w:val="32"/>
                <w:szCs w:val="32"/>
                <w:vertAlign w:val="baseline"/>
                <w:lang w:val="en-US" w:eastAsia="zh"/>
              </w:rPr>
            </w:pPr>
            <w:r>
              <w:rPr>
                <w:rFonts w:hint="eastAsia" w:ascii="仿宋_GB2312" w:hAnsi="仿宋_GB2312" w:eastAsia="仿宋_GB2312" w:cs="仿宋_GB2312"/>
                <w:color w:val="auto"/>
                <w:sz w:val="32"/>
                <w:szCs w:val="32"/>
                <w:lang w:val="en-US" w:eastAsia="zh"/>
              </w:rPr>
              <w:t>中国</w:t>
            </w:r>
            <w:r>
              <w:rPr>
                <w:rFonts w:hint="eastAsia" w:ascii="仿宋_GB2312" w:hAnsi="仿宋_GB2312" w:eastAsia="仿宋_GB2312" w:cs="仿宋_GB2312"/>
                <w:color w:val="auto"/>
                <w:sz w:val="32"/>
                <w:szCs w:val="32"/>
                <w:lang w:val="en-US" w:eastAsia="zh-CN"/>
              </w:rPr>
              <w:t>人民银行</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山东省分行</w:t>
            </w:r>
          </w:p>
        </w:tc>
        <w:tc>
          <w:tcPr>
            <w:tcW w:w="3020" w:type="dxa"/>
            <w:gridSpan w:val="2"/>
            <w:vAlign w:val="center"/>
          </w:tcPr>
          <w:p w14:paraId="6873FC6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_GB2312" w:hAnsi="仿宋_GB2312" w:eastAsia="仿宋_GB2312" w:cs="仿宋_GB2312"/>
                <w:color w:val="auto"/>
                <w:sz w:val="32"/>
                <w:szCs w:val="32"/>
                <w:vertAlign w:val="baseline"/>
                <w:lang w:val="en-US" w:eastAsia="zh"/>
              </w:rPr>
            </w:pPr>
            <w:r>
              <w:rPr>
                <w:rFonts w:hint="eastAsia" w:ascii="仿宋_GB2312" w:hAnsi="仿宋_GB2312" w:eastAsia="仿宋_GB2312" w:cs="仿宋_GB2312"/>
                <w:color w:val="auto"/>
                <w:sz w:val="32"/>
                <w:szCs w:val="32"/>
                <w:lang w:val="en-US" w:eastAsia="zh"/>
              </w:rPr>
              <w:t>国家</w:t>
            </w:r>
            <w:r>
              <w:rPr>
                <w:rFonts w:hint="eastAsia" w:ascii="仿宋_GB2312" w:hAnsi="仿宋_GB2312" w:eastAsia="仿宋_GB2312" w:cs="仿宋_GB2312"/>
                <w:color w:val="auto"/>
                <w:sz w:val="32"/>
                <w:szCs w:val="32"/>
                <w:lang w:val="en-US" w:eastAsia="zh-CN"/>
              </w:rPr>
              <w:t>金融</w:t>
            </w:r>
            <w:r>
              <w:rPr>
                <w:rFonts w:hint="eastAsia" w:ascii="仿宋_GB2312" w:hAnsi="仿宋_GB2312" w:eastAsia="仿宋_GB2312" w:cs="仿宋_GB2312"/>
                <w:color w:val="auto"/>
                <w:sz w:val="32"/>
                <w:szCs w:val="32"/>
                <w:lang w:val="en-US" w:eastAsia="zh"/>
              </w:rPr>
              <w:t>监督管理总</w:t>
            </w:r>
            <w:r>
              <w:rPr>
                <w:rFonts w:hint="eastAsia" w:ascii="仿宋_GB2312" w:hAnsi="仿宋_GB2312" w:eastAsia="仿宋_GB2312" w:cs="仿宋_GB2312"/>
                <w:color w:val="auto"/>
                <w:sz w:val="32"/>
                <w:szCs w:val="32"/>
                <w:lang w:val="en-US" w:eastAsia="zh-CN"/>
              </w:rPr>
              <w:t>局</w:t>
            </w:r>
            <w:r>
              <w:rPr>
                <w:rFonts w:hint="eastAsia" w:ascii="仿宋_GB2312" w:hAnsi="仿宋_GB2312" w:eastAsia="仿宋_GB2312" w:cs="仿宋_GB2312"/>
                <w:color w:val="auto"/>
                <w:sz w:val="32"/>
                <w:szCs w:val="32"/>
                <w:lang w:val="en-US" w:eastAsia="zh"/>
              </w:rPr>
              <w:t>山东监管局</w:t>
            </w:r>
          </w:p>
        </w:tc>
        <w:tc>
          <w:tcPr>
            <w:tcW w:w="3020" w:type="dxa"/>
            <w:vAlign w:val="center"/>
          </w:tcPr>
          <w:p w14:paraId="7220340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仿宋_GB2312" w:hAnsi="仿宋_GB2312" w:eastAsia="仿宋_GB2312" w:cs="仿宋_GB2312"/>
                <w:color w:val="auto"/>
                <w:sz w:val="32"/>
                <w:szCs w:val="32"/>
                <w:vertAlign w:val="baseline"/>
                <w:lang w:val="en-US" w:eastAsia="zh"/>
              </w:rPr>
            </w:pPr>
            <w:r>
              <w:rPr>
                <w:rFonts w:hint="eastAsia" w:ascii="仿宋_GB2312" w:hAnsi="仿宋_GB2312" w:eastAsia="仿宋_GB2312" w:cs="仿宋_GB2312"/>
                <w:color w:val="auto"/>
                <w:sz w:val="32"/>
                <w:szCs w:val="32"/>
                <w:lang w:val="en-US" w:eastAsia="zh"/>
              </w:rPr>
              <w:t>山东</w:t>
            </w:r>
            <w:r>
              <w:rPr>
                <w:rFonts w:hint="eastAsia" w:ascii="仿宋_GB2312" w:hAnsi="仿宋_GB2312" w:eastAsia="仿宋_GB2312" w:cs="仿宋_GB2312"/>
                <w:color w:val="auto"/>
                <w:sz w:val="32"/>
                <w:szCs w:val="32"/>
                <w:lang w:val="en-US" w:eastAsia="zh-CN"/>
              </w:rPr>
              <w:t>省邮政管理局</w:t>
            </w:r>
          </w:p>
        </w:tc>
      </w:tr>
      <w:tr w14:paraId="1E558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0" w:type="dxa"/>
            <w:gridSpan w:val="2"/>
            <w:vAlign w:val="center"/>
          </w:tcPr>
          <w:p w14:paraId="18667AC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_GB2312" w:hAnsi="仿宋_GB2312" w:eastAsia="仿宋_GB2312" w:cs="仿宋_GB2312"/>
                <w:color w:val="auto"/>
                <w:sz w:val="32"/>
                <w:szCs w:val="32"/>
                <w:lang w:val="en-US" w:eastAsia="zh"/>
              </w:rPr>
            </w:pPr>
          </w:p>
        </w:tc>
        <w:tc>
          <w:tcPr>
            <w:tcW w:w="4530" w:type="dxa"/>
            <w:gridSpan w:val="2"/>
            <w:vAlign w:val="center"/>
          </w:tcPr>
          <w:p w14:paraId="5A6A239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_GB2312" w:hAnsi="仿宋_GB2312" w:eastAsia="仿宋_GB2312" w:cs="仿宋_GB2312"/>
                <w:color w:val="auto"/>
                <w:sz w:val="32"/>
                <w:szCs w:val="32"/>
                <w:lang w:val="en-US" w:eastAsia="zh"/>
              </w:rPr>
            </w:pPr>
            <w:r>
              <w:rPr>
                <w:rFonts w:hint="eastAsia" w:ascii="仿宋_GB2312" w:hAnsi="仿宋_GB2312" w:eastAsia="仿宋_GB2312" w:cs="仿宋_GB2312"/>
                <w:color w:val="auto"/>
                <w:sz w:val="32"/>
                <w:szCs w:val="32"/>
                <w:lang w:val="en-US" w:eastAsia="zh-CN"/>
              </w:rPr>
              <w:t>2026年4月7日</w:t>
            </w:r>
          </w:p>
        </w:tc>
      </w:tr>
    </w:tbl>
    <w:p w14:paraId="16B1B4F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rPr>
          <w:rFonts w:hint="eastAsia" w:ascii="仿宋_GB2312" w:hAnsi="仿宋_GB2312" w:eastAsia="仿宋_GB2312" w:cs="仿宋_GB2312"/>
          <w:color w:val="auto"/>
          <w:sz w:val="32"/>
          <w:szCs w:val="32"/>
          <w:lang w:val="en-US" w:eastAsia="zh-CN"/>
        </w:rPr>
      </w:pPr>
    </w:p>
    <w:p w14:paraId="4C3E459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（此件主动公开）</w:t>
      </w:r>
    </w:p>
    <w:p w14:paraId="5A5A76E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（联系单位:省人力资源社会保障厅就业促进处）</w:t>
      </w:r>
    </w:p>
    <w:p w14:paraId="3DEA683C">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color w:val="auto"/>
          <w:sz w:val="32"/>
          <w:szCs w:val="32"/>
          <w:lang w:val="en-US" w:eastAsia="zh-CN"/>
        </w:rPr>
      </w:pPr>
    </w:p>
    <w:p w14:paraId="2BBC640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方正公文小标宋" w:hAnsi="方正公文小标宋" w:eastAsia="方正公文小标宋" w:cs="方正公文小标宋"/>
          <w:color w:val="auto"/>
          <w:sz w:val="44"/>
          <w:szCs w:val="44"/>
          <w:lang w:val="en-US" w:eastAsia="zh-CN"/>
        </w:rPr>
      </w:pPr>
      <w:r>
        <w:rPr>
          <w:rFonts w:hint="eastAsia" w:ascii="方正公文小标宋" w:hAnsi="方正公文小标宋" w:eastAsia="方正公文小标宋" w:cs="方正公文小标宋"/>
          <w:color w:val="auto"/>
          <w:sz w:val="44"/>
          <w:szCs w:val="44"/>
          <w:lang w:val="en-US" w:eastAsia="zh-CN"/>
        </w:rPr>
        <w:br w:type="page"/>
      </w:r>
    </w:p>
    <w:p w14:paraId="35B7D1B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公文小标宋" w:hAnsi="方正公文小标宋" w:eastAsia="方正公文小标宋" w:cs="方正公文小标宋"/>
          <w:color w:val="auto"/>
          <w:sz w:val="44"/>
          <w:szCs w:val="44"/>
          <w:lang w:val="en-US" w:eastAsia="zh-CN"/>
        </w:rPr>
      </w:pPr>
    </w:p>
    <w:p w14:paraId="4DF390E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val="en-US" w:eastAsia="zh-CN"/>
        </w:rPr>
        <w:t>关于推动</w:t>
      </w:r>
      <w:r>
        <w:rPr>
          <w:rFonts w:hint="eastAsia" w:ascii="方正小标宋简体" w:hAnsi="方正小标宋简体" w:eastAsia="方正小标宋简体" w:cs="方正小标宋简体"/>
          <w:color w:val="auto"/>
          <w:sz w:val="44"/>
          <w:szCs w:val="44"/>
        </w:rPr>
        <w:t>灵活就业</w:t>
      </w:r>
      <w:r>
        <w:rPr>
          <w:rFonts w:hint="eastAsia" w:ascii="方正小标宋简体" w:hAnsi="方正小标宋简体" w:eastAsia="方正小标宋简体" w:cs="方正小标宋简体"/>
          <w:color w:val="auto"/>
          <w:sz w:val="44"/>
          <w:szCs w:val="44"/>
          <w:lang w:val="en-US" w:eastAsia="zh-CN"/>
        </w:rPr>
        <w:t>“向新向智向优向高”</w:t>
      </w:r>
      <w:r>
        <w:rPr>
          <w:rFonts w:hint="eastAsia" w:ascii="方正小标宋简体" w:hAnsi="方正小标宋简体" w:eastAsia="方正小标宋简体" w:cs="方正小标宋简体"/>
          <w:color w:val="auto"/>
          <w:sz w:val="44"/>
          <w:szCs w:val="44"/>
        </w:rPr>
        <w:t>健康发展</w:t>
      </w:r>
      <w:r>
        <w:rPr>
          <w:rFonts w:hint="eastAsia" w:ascii="方正小标宋简体" w:hAnsi="方正小标宋简体" w:eastAsia="方正小标宋简体" w:cs="方正小标宋简体"/>
          <w:color w:val="auto"/>
          <w:sz w:val="44"/>
          <w:szCs w:val="44"/>
          <w:lang w:eastAsia="zh"/>
        </w:rPr>
        <w:t>的</w:t>
      </w:r>
      <w:r>
        <w:rPr>
          <w:rFonts w:hint="eastAsia" w:ascii="方正小标宋简体" w:hAnsi="方正小标宋简体" w:eastAsia="方正小标宋简体" w:cs="方正小标宋简体"/>
          <w:color w:val="auto"/>
          <w:sz w:val="44"/>
          <w:szCs w:val="44"/>
          <w:lang w:val="en-US" w:eastAsia="zh-CN"/>
        </w:rPr>
        <w:t>行动方案</w:t>
      </w:r>
    </w:p>
    <w:p w14:paraId="42ADF44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14:paraId="45FD11B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right="0" w:firstLine="632" w:firstLineChars="200"/>
        <w:jc w:val="both"/>
        <w:textAlignment w:val="auto"/>
        <w:rPr>
          <w:rFonts w:hint="eastAsia" w:ascii="仿宋_GB2312" w:eastAsia="仿宋_GB2312" w:cs="仿宋_GB2312"/>
          <w:color w:val="auto"/>
          <w:kern w:val="2"/>
          <w:sz w:val="32"/>
          <w:szCs w:val="32"/>
        </w:rPr>
      </w:pPr>
      <w:r>
        <w:rPr>
          <w:rFonts w:hint="eastAsia" w:ascii="仿宋_GB2312" w:hAnsi="Calibri" w:eastAsia="仿宋_GB2312" w:cs="仿宋_GB2312"/>
          <w:color w:val="auto"/>
          <w:kern w:val="2"/>
          <w:sz w:val="32"/>
          <w:szCs w:val="32"/>
          <w:lang w:val="en-US" w:eastAsia="zh-CN" w:bidi="ar"/>
        </w:rPr>
        <w:t>为落实党的二十届四中全会关于推动灵活就业健康发展的部署要求，坚持惠民生和促消费、投资于物和投资于人紧密结合，在新形势下推动灵活就业健康发展，结合山东实际，实施“向新向智向优向高”发展行动，制定如下行动方案。</w:t>
      </w:r>
    </w:p>
    <w:p w14:paraId="6B83C5B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right="0" w:firstLine="632" w:firstLineChars="200"/>
        <w:jc w:val="both"/>
        <w:textAlignment w:val="auto"/>
        <w:rPr>
          <w:rFonts w:hint="eastAsia" w:ascii="仿宋_GB2312" w:eastAsia="仿宋_GB2312" w:cs="仿宋_GB2312"/>
          <w:color w:val="auto"/>
          <w:kern w:val="2"/>
          <w:sz w:val="32"/>
          <w:szCs w:val="32"/>
        </w:rPr>
      </w:pPr>
      <w:r>
        <w:rPr>
          <w:rFonts w:hint="eastAsia" w:ascii="黑体" w:hAnsi="宋体" w:eastAsia="黑体" w:cs="黑体"/>
          <w:color w:val="auto"/>
          <w:kern w:val="2"/>
          <w:sz w:val="32"/>
          <w:szCs w:val="32"/>
          <w:lang w:val="en-US" w:eastAsia="zh-CN" w:bidi="ar"/>
        </w:rPr>
        <w:t>一、推动灵活就业“向新”发展</w:t>
      </w:r>
    </w:p>
    <w:p w14:paraId="483DD56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right="0" w:firstLine="632" w:firstLineChars="200"/>
        <w:jc w:val="both"/>
        <w:textAlignment w:val="auto"/>
        <w:rPr>
          <w:rFonts w:hint="eastAsia" w:ascii="楷体_GB2312" w:eastAsia="楷体_GB2312" w:cs="楷体_GB2312"/>
          <w:color w:val="auto"/>
          <w:kern w:val="2"/>
          <w:sz w:val="32"/>
          <w:szCs w:val="32"/>
        </w:rPr>
      </w:pPr>
      <w:r>
        <w:rPr>
          <w:rFonts w:hint="eastAsia" w:ascii="楷体_GB2312" w:hAnsi="Calibri" w:eastAsia="楷体_GB2312" w:cs="楷体_GB2312"/>
          <w:color w:val="auto"/>
          <w:kern w:val="2"/>
          <w:sz w:val="32"/>
          <w:szCs w:val="32"/>
          <w:lang w:val="en-US" w:eastAsia="zh-CN" w:bidi="ar"/>
        </w:rPr>
        <w:t>（一）拓展灵活就业新空间。</w:t>
      </w:r>
      <w:r>
        <w:rPr>
          <w:rFonts w:hint="eastAsia" w:ascii="仿宋_GB2312" w:hAnsi="Calibri" w:eastAsia="仿宋_GB2312" w:cs="仿宋_GB2312"/>
          <w:color w:val="auto"/>
          <w:kern w:val="2"/>
          <w:sz w:val="32"/>
          <w:szCs w:val="32"/>
          <w:lang w:val="en-US" w:eastAsia="zh-CN" w:bidi="ar"/>
        </w:rPr>
        <w:t>大力拓展数字经济、绿色经济、知识经济、银发经济、赛事经济等新经济领域的灵活就业空间，综合运用财政支持、金融支持等政策，积极开发“数字游民”“绿领员工”“内容创作者”等一批新灵活就业岗位，在培育发展经济新动能的同时挖掘灵活就业新潜力。</w:t>
      </w:r>
      <w:r>
        <w:rPr>
          <w:rFonts w:hint="eastAsia" w:ascii="楷体_GB2312" w:hAnsi="Calibri" w:eastAsia="楷体_GB2312" w:cs="楷体_GB2312"/>
          <w:color w:val="auto"/>
          <w:kern w:val="2"/>
          <w:sz w:val="32"/>
          <w:szCs w:val="32"/>
          <w:lang w:val="en-US" w:eastAsia="zh-CN" w:bidi="ar"/>
        </w:rPr>
        <w:t>（省发展改革委、省工业和信息化厅、省财政厅、省人力资源社会保障厅、省大数据局，山东金融监管局、人民银行山东省分行等按职责分工负责）</w:t>
      </w:r>
    </w:p>
    <w:p w14:paraId="516CF73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right="0" w:firstLine="632" w:firstLineChars="200"/>
        <w:jc w:val="both"/>
        <w:textAlignment w:val="auto"/>
        <w:rPr>
          <w:rFonts w:hint="eastAsia" w:ascii="仿宋_GB2312" w:eastAsia="仿宋_GB2312" w:cs="仿宋_GB2312"/>
          <w:color w:val="auto"/>
          <w:kern w:val="2"/>
          <w:sz w:val="32"/>
          <w:szCs w:val="32"/>
        </w:rPr>
      </w:pPr>
      <w:r>
        <w:rPr>
          <w:rFonts w:hint="eastAsia" w:ascii="楷体_GB2312" w:hAnsi="Calibri" w:eastAsia="楷体_GB2312" w:cs="楷体_GB2312"/>
          <w:color w:val="auto"/>
          <w:kern w:val="2"/>
          <w:sz w:val="32"/>
          <w:szCs w:val="32"/>
          <w:lang w:val="en-US" w:eastAsia="zh-CN" w:bidi="ar"/>
        </w:rPr>
        <w:t>（二）打造灵活就业新场景。</w:t>
      </w:r>
      <w:r>
        <w:rPr>
          <w:rFonts w:hint="eastAsia" w:ascii="仿宋_GB2312" w:hAnsi="Calibri" w:eastAsia="仿宋_GB2312" w:cs="仿宋_GB2312"/>
          <w:color w:val="auto"/>
          <w:kern w:val="2"/>
          <w:sz w:val="32"/>
          <w:szCs w:val="32"/>
          <w:lang w:val="en-US" w:eastAsia="zh-CN" w:bidi="ar"/>
        </w:rPr>
        <w:t>打造“灵活就业+”模式，推行“灵活就业+社区”，大力发展“社区微业”，促进“家门口”灵活就业；推行“灵活就业+乡村”，有序发展特色劳务品牌，促进劳务型灵活就业；推行“灵活就业+商埠”，稳步发展“创业街区”，促进创业型灵活就业。</w:t>
      </w:r>
      <w:r>
        <w:rPr>
          <w:rFonts w:hint="eastAsia" w:ascii="楷体_GB2312" w:hAnsi="Calibri" w:eastAsia="楷体_GB2312" w:cs="楷体_GB2312"/>
          <w:color w:val="auto"/>
          <w:kern w:val="2"/>
          <w:sz w:val="32"/>
          <w:szCs w:val="32"/>
          <w:lang w:val="en-US" w:eastAsia="zh-CN" w:bidi="ar"/>
        </w:rPr>
        <w:t>（省人力资源社会保障厅、省农业农村厅等按职责分工负责）</w:t>
      </w:r>
    </w:p>
    <w:p w14:paraId="3296C92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right="0" w:firstLine="632" w:firstLineChars="200"/>
        <w:jc w:val="both"/>
        <w:textAlignment w:val="auto"/>
        <w:rPr>
          <w:rFonts w:hint="eastAsia" w:ascii="仿宋_GB2312" w:eastAsia="仿宋_GB2312" w:cs="仿宋_GB2312"/>
          <w:color w:val="auto"/>
          <w:kern w:val="2"/>
          <w:sz w:val="32"/>
          <w:szCs w:val="32"/>
        </w:rPr>
      </w:pPr>
      <w:r>
        <w:rPr>
          <w:rFonts w:hint="eastAsia" w:ascii="楷体_GB2312" w:hAnsi="Calibri" w:eastAsia="楷体_GB2312" w:cs="楷体_GB2312"/>
          <w:color w:val="auto"/>
          <w:kern w:val="2"/>
          <w:sz w:val="32"/>
          <w:szCs w:val="32"/>
          <w:lang w:val="en-US" w:eastAsia="zh-CN" w:bidi="ar"/>
        </w:rPr>
        <w:t>（三）搭建灵活就业新平台。</w:t>
      </w:r>
      <w:r>
        <w:rPr>
          <w:rFonts w:hint="eastAsia" w:ascii="仿宋_GB2312" w:hAnsi="Calibri" w:eastAsia="仿宋_GB2312" w:cs="仿宋_GB2312"/>
          <w:color w:val="auto"/>
          <w:kern w:val="2"/>
          <w:sz w:val="32"/>
          <w:szCs w:val="32"/>
          <w:lang w:val="en-US" w:eastAsia="zh-CN" w:bidi="ar"/>
        </w:rPr>
        <w:t>大力发展平台经济，加快推动网络零售、移动出行、互联网医疗、在线娱乐等新业态新模式，为劳动者居家就业、远程办公、兼职就业创造条件。按照职责依法监管互联网平台经济及其他新业态新模式，支持互联网平台企业、中介服务机构等降低服务费、加盟管理费等费用，创造更多灵活就业岗位。</w:t>
      </w:r>
      <w:r>
        <w:rPr>
          <w:rFonts w:hint="eastAsia" w:ascii="楷体_GB2312" w:hAnsi="Calibri" w:eastAsia="楷体_GB2312" w:cs="楷体_GB2312"/>
          <w:color w:val="auto"/>
          <w:kern w:val="2"/>
          <w:sz w:val="32"/>
          <w:szCs w:val="32"/>
          <w:lang w:val="en-US" w:eastAsia="zh-CN" w:bidi="ar"/>
        </w:rPr>
        <w:t>（省发展改革委、省交通运输厅、省商务厅、省卫生健康委等按职责分工负责）</w:t>
      </w:r>
    </w:p>
    <w:p w14:paraId="0C91E81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right="0" w:firstLine="632" w:firstLineChars="200"/>
        <w:jc w:val="both"/>
        <w:textAlignment w:val="auto"/>
        <w:rPr>
          <w:rFonts w:hint="eastAsia" w:ascii="黑体" w:hAnsi="宋体" w:eastAsia="黑体" w:cs="黑体"/>
          <w:color w:val="auto"/>
          <w:kern w:val="2"/>
          <w:sz w:val="32"/>
          <w:szCs w:val="32"/>
        </w:rPr>
      </w:pPr>
      <w:r>
        <w:rPr>
          <w:rFonts w:hint="eastAsia" w:ascii="黑体" w:hAnsi="宋体" w:eastAsia="黑体" w:cs="黑体"/>
          <w:color w:val="auto"/>
          <w:kern w:val="2"/>
          <w:sz w:val="32"/>
          <w:szCs w:val="32"/>
          <w:lang w:val="en-US" w:eastAsia="zh-CN" w:bidi="ar"/>
        </w:rPr>
        <w:t>二、推动灵活就业“向智”发展</w:t>
      </w:r>
    </w:p>
    <w:p w14:paraId="7A163F4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right="0" w:firstLine="632" w:firstLineChars="200"/>
        <w:jc w:val="both"/>
        <w:textAlignment w:val="auto"/>
        <w:rPr>
          <w:rFonts w:hint="eastAsia" w:ascii="仿宋_GB2312" w:eastAsia="仿宋_GB2312" w:cs="仿宋_GB2312"/>
          <w:color w:val="auto"/>
          <w:kern w:val="2"/>
          <w:sz w:val="32"/>
          <w:szCs w:val="32"/>
        </w:rPr>
      </w:pPr>
      <w:r>
        <w:rPr>
          <w:rFonts w:hint="eastAsia" w:ascii="楷体_GB2312" w:hAnsi="Calibri" w:eastAsia="楷体_GB2312" w:cs="楷体_GB2312"/>
          <w:color w:val="auto"/>
          <w:kern w:val="2"/>
          <w:sz w:val="32"/>
          <w:szCs w:val="32"/>
          <w:lang w:val="en-US" w:eastAsia="zh-CN" w:bidi="ar"/>
        </w:rPr>
        <w:t>（四）推进灵活就业业态与人工智能产业协同发展。</w:t>
      </w:r>
      <w:r>
        <w:rPr>
          <w:rFonts w:hint="eastAsia" w:ascii="仿宋_GB2312" w:hAnsi="Calibri" w:eastAsia="仿宋_GB2312" w:cs="仿宋_GB2312"/>
          <w:color w:val="auto"/>
          <w:kern w:val="2"/>
          <w:sz w:val="32"/>
          <w:szCs w:val="32"/>
          <w:lang w:val="en-US" w:eastAsia="zh-CN" w:bidi="ar"/>
        </w:rPr>
        <w:t>挖掘人工智能技术对传统灵活就业业态的升级赋能潜力，支持通过AI技术为家政服务、配送服务等传统灵活就业岗位提供智能调度、需求预测等支持，提升服务效率与质量。推进建立AI+灵活就业生态，围绕“人工智能+”消费提质，打造体验消费、个性消费、认知和情感消费等服务消费新场景，实现全产业链协同。</w:t>
      </w:r>
      <w:r>
        <w:rPr>
          <w:rFonts w:hint="eastAsia" w:ascii="楷体_GB2312" w:hAnsi="Calibri" w:eastAsia="楷体_GB2312" w:cs="楷体_GB2312"/>
          <w:color w:val="auto"/>
          <w:kern w:val="2"/>
          <w:sz w:val="32"/>
          <w:szCs w:val="32"/>
          <w:lang w:val="en-US" w:eastAsia="zh-CN" w:bidi="ar"/>
        </w:rPr>
        <w:t>（省发展改革委、省人力资源社会保障厅、省商务厅等按职责分工负责）</w:t>
      </w:r>
    </w:p>
    <w:p w14:paraId="1962BFC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right="0" w:firstLine="632" w:firstLineChars="200"/>
        <w:jc w:val="both"/>
        <w:textAlignment w:val="auto"/>
        <w:rPr>
          <w:rFonts w:hint="eastAsia" w:ascii="仿宋_GB2312" w:eastAsia="仿宋_GB2312" w:cs="仿宋_GB2312"/>
          <w:color w:val="auto"/>
          <w:kern w:val="2"/>
          <w:sz w:val="32"/>
          <w:szCs w:val="32"/>
        </w:rPr>
      </w:pPr>
      <w:r>
        <w:rPr>
          <w:rFonts w:hint="eastAsia" w:ascii="楷体_GB2312" w:hAnsi="Calibri" w:eastAsia="楷体_GB2312" w:cs="楷体_GB2312"/>
          <w:color w:val="auto"/>
          <w:kern w:val="2"/>
          <w:sz w:val="32"/>
          <w:szCs w:val="32"/>
          <w:lang w:val="en-US" w:eastAsia="zh-CN" w:bidi="ar"/>
        </w:rPr>
        <w:t>（五）提升灵活就业从业人员对人工智能技术适应性。</w:t>
      </w:r>
      <w:r>
        <w:rPr>
          <w:rFonts w:hint="eastAsia" w:ascii="仿宋_GB2312" w:hAnsi="Calibri" w:eastAsia="仿宋_GB2312" w:cs="仿宋_GB2312"/>
          <w:color w:val="auto"/>
          <w:kern w:val="2"/>
          <w:sz w:val="32"/>
          <w:szCs w:val="32"/>
          <w:lang w:val="en-US" w:eastAsia="zh-CN" w:bidi="ar"/>
        </w:rPr>
        <w:t>结合“人工智能+”需求，为灵活就业人员提供个性化学习路径。推行“培训+评价+就业”一体化模式，完善符合人工智能人才职业属性和岗位特点的多元化评价体系，支持行业协会与“人工智能+”企业开展职业技能等级认定，为灵活就业人员畅通职业发展通道。</w:t>
      </w:r>
      <w:r>
        <w:rPr>
          <w:rFonts w:hint="eastAsia" w:ascii="楷体_GB2312" w:hAnsi="Calibri" w:eastAsia="楷体_GB2312" w:cs="楷体_GB2312"/>
          <w:color w:val="auto"/>
          <w:kern w:val="2"/>
          <w:sz w:val="32"/>
          <w:szCs w:val="32"/>
          <w:lang w:val="en-US" w:eastAsia="zh-CN" w:bidi="ar"/>
        </w:rPr>
        <w:t>（省人力资源社会保障厅牵头负责）</w:t>
      </w:r>
    </w:p>
    <w:p w14:paraId="269EDA5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right="0" w:firstLine="632" w:firstLineChars="200"/>
        <w:jc w:val="both"/>
        <w:textAlignment w:val="auto"/>
        <w:rPr>
          <w:rFonts w:hint="eastAsia" w:ascii="仿宋_GB2312" w:eastAsia="仿宋_GB2312" w:cs="仿宋_GB2312"/>
          <w:color w:val="auto"/>
          <w:kern w:val="2"/>
          <w:sz w:val="32"/>
          <w:szCs w:val="32"/>
        </w:rPr>
      </w:pPr>
      <w:r>
        <w:rPr>
          <w:rFonts w:hint="eastAsia" w:ascii="楷体_GB2312" w:hAnsi="Calibri" w:eastAsia="楷体_GB2312" w:cs="楷体_GB2312"/>
          <w:color w:val="auto"/>
          <w:kern w:val="2"/>
          <w:sz w:val="32"/>
          <w:szCs w:val="32"/>
          <w:lang w:val="en-US" w:eastAsia="zh-CN" w:bidi="ar"/>
        </w:rPr>
        <w:t>（六）推进灵活就业工作方式与人工智能商用适配。</w:t>
      </w:r>
      <w:r>
        <w:rPr>
          <w:rFonts w:hint="eastAsia" w:ascii="仿宋_GB2312" w:hAnsi="Calibri" w:eastAsia="仿宋_GB2312" w:cs="仿宋_GB2312"/>
          <w:color w:val="auto"/>
          <w:kern w:val="2"/>
          <w:sz w:val="32"/>
          <w:szCs w:val="32"/>
          <w:lang w:val="en-US" w:eastAsia="zh-CN" w:bidi="ar"/>
        </w:rPr>
        <w:t>支持灵活就业人员以独立工作室、合作团队等形式，承接智能营销策划、AI产品售后支持等“人工智能+”企业的外包服务工作。倡导AI辅助创业，通过人工智能工具辅助内容创作、电商运营，发展“一人军团”创业,构建人机协作新模式。</w:t>
      </w:r>
      <w:r>
        <w:rPr>
          <w:rFonts w:hint="eastAsia" w:ascii="楷体_GB2312" w:hAnsi="Calibri" w:eastAsia="楷体_GB2312" w:cs="楷体_GB2312"/>
          <w:color w:val="auto"/>
          <w:kern w:val="2"/>
          <w:sz w:val="32"/>
          <w:szCs w:val="32"/>
          <w:lang w:val="en-US" w:eastAsia="zh-CN" w:bidi="ar"/>
        </w:rPr>
        <w:t>（省人力资源社会保障厅、省商务厅等按职责分工负责）</w:t>
      </w:r>
    </w:p>
    <w:p w14:paraId="4144DD0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right="0" w:firstLine="632" w:firstLineChars="200"/>
        <w:jc w:val="both"/>
        <w:textAlignment w:val="auto"/>
        <w:rPr>
          <w:rFonts w:hint="eastAsia" w:ascii="仿宋_GB2312" w:eastAsia="仿宋_GB2312" w:cs="仿宋_GB2312"/>
          <w:color w:val="auto"/>
          <w:kern w:val="2"/>
          <w:sz w:val="32"/>
          <w:szCs w:val="32"/>
        </w:rPr>
      </w:pPr>
      <w:r>
        <w:rPr>
          <w:rFonts w:hint="eastAsia" w:ascii="楷体_GB2312" w:hAnsi="楷体" w:eastAsia="楷体_GB2312" w:cs="楷体_GB2312"/>
          <w:color w:val="auto"/>
          <w:kern w:val="2"/>
          <w:sz w:val="32"/>
          <w:szCs w:val="32"/>
          <w:lang w:val="en-US" w:eastAsia="zh-CN" w:bidi="ar"/>
        </w:rPr>
        <w:t>（七）强化</w:t>
      </w:r>
      <w:r>
        <w:rPr>
          <w:rFonts w:hint="eastAsia" w:ascii="楷体" w:hAnsi="楷体" w:eastAsia="楷体" w:cs="楷体"/>
          <w:color w:val="auto"/>
          <w:kern w:val="2"/>
          <w:sz w:val="32"/>
          <w:szCs w:val="32"/>
          <w:lang w:val="en-US" w:eastAsia="zh-CN" w:bidi="ar"/>
        </w:rPr>
        <w:t>灵活就业从业人员数智就业服务供给。</w:t>
      </w:r>
      <w:r>
        <w:rPr>
          <w:rFonts w:hint="eastAsia" w:ascii="仿宋_GB2312" w:hAnsi="仿宋_GB2312" w:eastAsia="仿宋_GB2312" w:cs="仿宋_GB2312"/>
          <w:color w:val="auto"/>
          <w:kern w:val="2"/>
          <w:sz w:val="32"/>
          <w:szCs w:val="32"/>
          <w:lang w:val="en-US" w:eastAsia="zh-CN" w:bidi="ar"/>
        </w:rPr>
        <w:t>推动建设数智就业服务区，推进“人工智能+就业”应用，开展专家基层行等活动，为灵活就业从业人员提供数智就业服务。</w:t>
      </w:r>
      <w:r>
        <w:rPr>
          <w:rFonts w:hint="eastAsia" w:ascii="楷体_GB2312" w:hAnsi="Calibri" w:eastAsia="楷体_GB2312" w:cs="楷体_GB2312"/>
          <w:color w:val="auto"/>
          <w:kern w:val="2"/>
          <w:sz w:val="32"/>
          <w:szCs w:val="32"/>
          <w:lang w:val="en-US" w:eastAsia="zh-CN" w:bidi="ar"/>
        </w:rPr>
        <w:t>（省人力资源社会保障厅牵头负责）</w:t>
      </w:r>
    </w:p>
    <w:p w14:paraId="45C61D1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right="0" w:firstLine="632" w:firstLineChars="200"/>
        <w:jc w:val="both"/>
        <w:textAlignment w:val="auto"/>
        <w:rPr>
          <w:rFonts w:hint="eastAsia" w:ascii="黑体" w:hAnsi="宋体" w:eastAsia="黑体" w:cs="黑体"/>
          <w:color w:val="auto"/>
          <w:kern w:val="2"/>
          <w:sz w:val="32"/>
          <w:szCs w:val="32"/>
        </w:rPr>
      </w:pPr>
      <w:r>
        <w:rPr>
          <w:rFonts w:hint="eastAsia" w:ascii="黑体" w:hAnsi="宋体" w:eastAsia="黑体" w:cs="黑体"/>
          <w:color w:val="auto"/>
          <w:kern w:val="2"/>
          <w:sz w:val="32"/>
          <w:szCs w:val="32"/>
          <w:lang w:val="en-US" w:eastAsia="zh-CN" w:bidi="ar"/>
        </w:rPr>
        <w:t>三、推动灵活就业“向优”发展</w:t>
      </w:r>
    </w:p>
    <w:p w14:paraId="108F9BA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right="0" w:firstLine="632" w:firstLineChars="200"/>
        <w:jc w:val="both"/>
        <w:textAlignment w:val="auto"/>
        <w:rPr>
          <w:rFonts w:hint="eastAsia" w:ascii="仿宋_GB2312" w:eastAsia="仿宋_GB2312" w:cs="仿宋_GB2312"/>
          <w:color w:val="auto"/>
          <w:kern w:val="2"/>
          <w:sz w:val="32"/>
          <w:szCs w:val="32"/>
        </w:rPr>
      </w:pPr>
      <w:r>
        <w:rPr>
          <w:rFonts w:hint="eastAsia" w:ascii="楷体_GB2312" w:hAnsi="Calibri" w:eastAsia="楷体_GB2312" w:cs="楷体_GB2312"/>
          <w:color w:val="auto"/>
          <w:kern w:val="2"/>
          <w:sz w:val="32"/>
          <w:szCs w:val="32"/>
          <w:lang w:val="en-US" w:eastAsia="zh-CN" w:bidi="ar"/>
        </w:rPr>
        <w:t>（八）优化灵活就业支持政策。</w:t>
      </w:r>
      <w:r>
        <w:rPr>
          <w:rFonts w:hint="eastAsia" w:ascii="仿宋_GB2312" w:hAnsi="Calibri" w:eastAsia="仿宋_GB2312" w:cs="仿宋_GB2312"/>
          <w:color w:val="auto"/>
          <w:kern w:val="2"/>
          <w:sz w:val="32"/>
          <w:szCs w:val="32"/>
          <w:lang w:val="en-US" w:eastAsia="zh-CN" w:bidi="ar"/>
        </w:rPr>
        <w:t>为符合条件的灵活就业人员提供创业担保贷款支持，鼓励面向灵活就业人员推出“创贷+”产品，强化银担合作，服务零工群体“短、频、急”的资金需求。把家政服务业从业人员意外伤害商业保险补贴年龄范围上限延至享受基本养老保险待遇年龄。</w:t>
      </w:r>
      <w:r>
        <w:rPr>
          <w:rFonts w:hint="eastAsia" w:ascii="楷体_GB2312" w:hAnsi="Calibri" w:eastAsia="楷体_GB2312" w:cs="楷体_GB2312"/>
          <w:color w:val="auto"/>
          <w:kern w:val="2"/>
          <w:sz w:val="32"/>
          <w:szCs w:val="32"/>
          <w:lang w:val="en-US" w:eastAsia="zh-CN" w:bidi="ar"/>
        </w:rPr>
        <w:t>（省财政厅、省人力资源社会保障厅、山东金融监管局、人民银行山东省分行等按职责分工负责）</w:t>
      </w:r>
    </w:p>
    <w:p w14:paraId="0C9F9BD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right="0" w:firstLine="632" w:firstLineChars="200"/>
        <w:jc w:val="both"/>
        <w:textAlignment w:val="auto"/>
        <w:rPr>
          <w:rFonts w:hint="eastAsia" w:ascii="仿宋_GB2312" w:eastAsia="仿宋_GB2312" w:cs="仿宋_GB2312"/>
          <w:color w:val="auto"/>
          <w:kern w:val="2"/>
          <w:sz w:val="32"/>
          <w:szCs w:val="32"/>
        </w:rPr>
      </w:pPr>
      <w:r>
        <w:rPr>
          <w:rFonts w:hint="eastAsia" w:ascii="楷体_GB2312" w:hAnsi="Calibri" w:eastAsia="楷体_GB2312" w:cs="楷体_GB2312"/>
          <w:color w:val="auto"/>
          <w:kern w:val="2"/>
          <w:sz w:val="32"/>
          <w:szCs w:val="32"/>
          <w:lang w:val="en-US" w:eastAsia="zh-CN" w:bidi="ar"/>
        </w:rPr>
        <w:t>（九）优化灵活就业服务。</w:t>
      </w:r>
      <w:r>
        <w:rPr>
          <w:rFonts w:hint="eastAsia" w:ascii="仿宋_GB2312" w:hAnsi="Calibri" w:eastAsia="仿宋_GB2312" w:cs="仿宋_GB2312"/>
          <w:color w:val="auto"/>
          <w:kern w:val="2"/>
          <w:sz w:val="32"/>
          <w:szCs w:val="32"/>
          <w:lang w:val="en-US" w:eastAsia="zh-CN" w:bidi="ar"/>
        </w:rPr>
        <w:t>畅通灵活就业人员就业登记服务渠道，加强数据共享，探索运用人工智能等技术开展灵活就业信息监测和分析。深化“15分钟就业服务圈+一刻钟便民生活圈”融合建设，着力打造标准化、融合化、嵌入式等多形式社区就业驿站，方便灵活就业人员就近就地接受就业服务。规范发展零工市场，制定零工市场建设和服务规范，以市为单位统一发</w:t>
      </w:r>
      <w:r>
        <w:rPr>
          <w:rFonts w:hint="eastAsia" w:ascii="仿宋_GB2312" w:hAnsi="Calibri" w:eastAsia="仿宋_GB2312" w:cs="仿宋_GB2312"/>
          <w:color w:val="auto"/>
          <w:kern w:val="2"/>
          <w:sz w:val="32"/>
          <w:szCs w:val="32"/>
          <w:highlight w:val="none"/>
          <w:lang w:val="en-US" w:eastAsia="zh-CN" w:bidi="ar"/>
        </w:rPr>
        <w:t>布“零工市场”地图，在“爱山东”等平台开设线上灵活就业专区</w:t>
      </w:r>
      <w:r>
        <w:rPr>
          <w:rFonts w:hint="eastAsia" w:ascii="仿宋_GB2312" w:hAnsi="Calibri" w:eastAsia="仿宋_GB2312" w:cs="仿宋_GB2312"/>
          <w:color w:val="auto"/>
          <w:kern w:val="2"/>
          <w:sz w:val="32"/>
          <w:szCs w:val="32"/>
          <w:lang w:val="en-US" w:eastAsia="zh-CN" w:bidi="ar"/>
        </w:rPr>
        <w:t>专栏，广泛收集发布非全日制用工、临时性和阶段性用工等零工需求信息，促进灵活就业供需高效对接。指导企业规范开展用工余缺调剂，支持各类人力资源服务机构为灵活就业人员提供规范有序的求职招聘、人力资源外包等专业化服务，并按规定给予就业创业服务补助。</w:t>
      </w:r>
      <w:r>
        <w:rPr>
          <w:rFonts w:hint="eastAsia" w:ascii="楷体_GB2312" w:hAnsi="Calibri" w:eastAsia="楷体_GB2312" w:cs="楷体_GB2312"/>
          <w:color w:val="auto"/>
          <w:kern w:val="2"/>
          <w:sz w:val="32"/>
          <w:szCs w:val="32"/>
          <w:lang w:val="en-US" w:eastAsia="zh-CN" w:bidi="ar"/>
        </w:rPr>
        <w:t>（省人力资源社会保障厅、省商务厅等按职责分工负责）</w:t>
      </w:r>
    </w:p>
    <w:p w14:paraId="4A8A28E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right="0" w:firstLine="632" w:firstLineChars="200"/>
        <w:jc w:val="both"/>
        <w:textAlignment w:val="auto"/>
        <w:rPr>
          <w:rFonts w:hint="eastAsia" w:ascii="仿宋_GB2312" w:eastAsia="仿宋_GB2312" w:cs="仿宋_GB2312"/>
          <w:color w:val="auto"/>
          <w:kern w:val="2"/>
          <w:sz w:val="32"/>
          <w:szCs w:val="32"/>
        </w:rPr>
      </w:pPr>
      <w:r>
        <w:rPr>
          <w:rFonts w:hint="eastAsia" w:ascii="楷体_GB2312" w:hAnsi="Calibri" w:eastAsia="楷体_GB2312" w:cs="楷体_GB2312"/>
          <w:color w:val="auto"/>
          <w:kern w:val="2"/>
          <w:sz w:val="32"/>
          <w:szCs w:val="32"/>
          <w:lang w:val="en-US" w:eastAsia="zh-CN" w:bidi="ar"/>
        </w:rPr>
        <w:t>（十）优化灵活就业劳动环境。</w:t>
      </w:r>
      <w:r>
        <w:rPr>
          <w:rFonts w:hint="eastAsia" w:ascii="仿宋_GB2312" w:hAnsi="Calibri" w:eastAsia="仿宋_GB2312" w:cs="仿宋_GB2312"/>
          <w:color w:val="auto"/>
          <w:kern w:val="2"/>
          <w:sz w:val="32"/>
          <w:szCs w:val="32"/>
          <w:lang w:val="en-US" w:eastAsia="zh-CN" w:bidi="ar"/>
        </w:rPr>
        <w:t>加强企业使用灵活就业的用工指导，加强法律政策宣传，推行新就业形态系列指引指南，推动相关政策落地。通过采取加强行政指导、开展职业伤害保障试点、完善纠纷调解机制等措施，推动平台企业依法依规保障劳动者劳动权益。开展新就业形态劳动者劳动权益保障有关政策解读和宣传引导。加强职业防护知识培训，为灵活就业人员营造安全的工作环境。</w:t>
      </w:r>
      <w:r>
        <w:rPr>
          <w:rFonts w:hint="eastAsia" w:ascii="楷体_GB2312" w:hAnsi="Calibri" w:eastAsia="楷体_GB2312" w:cs="楷体_GB2312"/>
          <w:color w:val="auto"/>
          <w:kern w:val="2"/>
          <w:sz w:val="32"/>
          <w:szCs w:val="32"/>
          <w:lang w:val="en-US" w:eastAsia="zh-CN" w:bidi="ar"/>
        </w:rPr>
        <w:t>（省委社会工作部，省工业和信息化厅、省人力资源社会保障厅、省交通运输厅、省商务厅、省市场监管局、省邮政管理局等按职责分工负责）</w:t>
      </w:r>
    </w:p>
    <w:p w14:paraId="6B42E8F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right="0" w:firstLine="632" w:firstLineChars="200"/>
        <w:jc w:val="both"/>
        <w:textAlignment w:val="auto"/>
        <w:rPr>
          <w:rFonts w:hint="eastAsia" w:ascii="仿宋_GB2312" w:eastAsia="仿宋_GB2312" w:cs="仿宋_GB2312"/>
          <w:color w:val="auto"/>
          <w:kern w:val="2"/>
          <w:sz w:val="32"/>
          <w:szCs w:val="32"/>
        </w:rPr>
      </w:pPr>
      <w:r>
        <w:rPr>
          <w:rFonts w:hint="eastAsia" w:ascii="楷体_GB2312" w:hAnsi="Calibri" w:eastAsia="楷体_GB2312" w:cs="楷体_GB2312"/>
          <w:color w:val="auto"/>
          <w:kern w:val="2"/>
          <w:sz w:val="32"/>
          <w:szCs w:val="32"/>
          <w:lang w:val="en-US" w:eastAsia="zh-CN" w:bidi="ar"/>
        </w:rPr>
        <w:t>（十一）优化灵活就业市场监管手段。</w:t>
      </w:r>
      <w:r>
        <w:rPr>
          <w:rFonts w:hint="eastAsia" w:ascii="仿宋_GB2312" w:hAnsi="Calibri" w:eastAsia="仿宋_GB2312" w:cs="仿宋_GB2312"/>
          <w:color w:val="auto"/>
          <w:kern w:val="2"/>
          <w:sz w:val="32"/>
          <w:szCs w:val="32"/>
          <w:lang w:val="en-US" w:eastAsia="zh-CN" w:bidi="ar"/>
        </w:rPr>
        <w:t>持续开展清理整顿人力资源市场秩序专项行动，严厉打击“黑职介”、虚假招聘等违法违规行为，不断规范灵活用工市场秩序。畅通灵活就业人员纠纷调解渠道，开展新就业形态劳动纠纷一站式联合调解，及时受理劳动者举报投诉，依法查处侵害劳动者权益的违法行为。编制新就业形态劳动争议典型案例，提高灵活就业人员的法律意识和自我保护意识，促进灵活用工市场健康发展。</w:t>
      </w:r>
      <w:r>
        <w:rPr>
          <w:rFonts w:hint="eastAsia" w:ascii="楷体_GB2312" w:hAnsi="Calibri" w:eastAsia="楷体_GB2312" w:cs="楷体_GB2312"/>
          <w:color w:val="auto"/>
          <w:kern w:val="2"/>
          <w:sz w:val="32"/>
          <w:szCs w:val="32"/>
          <w:lang w:val="en-US" w:eastAsia="zh-CN" w:bidi="ar"/>
        </w:rPr>
        <w:t>（省人力资源社会保障厅牵头负责）</w:t>
      </w:r>
    </w:p>
    <w:p w14:paraId="759A3FD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right="0" w:firstLine="632" w:firstLineChars="200"/>
        <w:jc w:val="both"/>
        <w:textAlignment w:val="auto"/>
        <w:rPr>
          <w:rFonts w:hint="eastAsia" w:ascii="黑体" w:hAnsi="宋体" w:eastAsia="黑体" w:cs="黑体"/>
          <w:color w:val="auto"/>
          <w:kern w:val="2"/>
          <w:sz w:val="32"/>
          <w:szCs w:val="32"/>
        </w:rPr>
      </w:pPr>
      <w:r>
        <w:rPr>
          <w:rFonts w:hint="eastAsia" w:ascii="黑体" w:hAnsi="宋体" w:eastAsia="黑体" w:cs="黑体"/>
          <w:color w:val="auto"/>
          <w:kern w:val="2"/>
          <w:sz w:val="32"/>
          <w:szCs w:val="32"/>
          <w:lang w:val="en-US" w:eastAsia="zh-CN" w:bidi="ar"/>
        </w:rPr>
        <w:t>四、推动灵活就业“向高”发展</w:t>
      </w:r>
    </w:p>
    <w:p w14:paraId="56B250A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right="0" w:firstLine="632" w:firstLineChars="200"/>
        <w:jc w:val="both"/>
        <w:textAlignment w:val="auto"/>
        <w:rPr>
          <w:rFonts w:hint="eastAsia" w:ascii="仿宋_GB2312" w:eastAsia="仿宋_GB2312" w:cs="仿宋_GB2312"/>
          <w:color w:val="auto"/>
          <w:kern w:val="2"/>
          <w:sz w:val="32"/>
          <w:szCs w:val="32"/>
        </w:rPr>
      </w:pPr>
      <w:r>
        <w:rPr>
          <w:rFonts w:hint="eastAsia" w:ascii="楷体_GB2312" w:hAnsi="Calibri" w:eastAsia="楷体_GB2312" w:cs="楷体_GB2312"/>
          <w:color w:val="auto"/>
          <w:kern w:val="2"/>
          <w:sz w:val="32"/>
          <w:szCs w:val="32"/>
          <w:lang w:val="en-US" w:eastAsia="zh-CN" w:bidi="ar"/>
        </w:rPr>
        <w:t>（十二）提高灵活就业人员劳动收入水平。</w:t>
      </w:r>
      <w:r>
        <w:rPr>
          <w:rFonts w:hint="eastAsia" w:ascii="仿宋_GB2312" w:hAnsi="Calibri" w:eastAsia="仿宋_GB2312" w:cs="仿宋_GB2312"/>
          <w:color w:val="auto"/>
          <w:kern w:val="2"/>
          <w:sz w:val="32"/>
          <w:szCs w:val="32"/>
          <w:lang w:val="en-US" w:eastAsia="zh-CN" w:bidi="ar"/>
        </w:rPr>
        <w:t>落实《新就业形态劳动者休息和劳动报酬权益保障指引》，鼓励头部平台示范建立公平透明的协商机制、科学合理的劳动报酬结构和以人为本的算法体系，带动全行业合理提升劳动报酬水平。加大欠薪整治力度，依法严厉打击恶意欠薪违法行为。</w:t>
      </w:r>
      <w:r>
        <w:rPr>
          <w:rFonts w:hint="eastAsia" w:ascii="楷体_GB2312" w:hAnsi="Calibri" w:eastAsia="楷体_GB2312" w:cs="楷体_GB2312"/>
          <w:color w:val="auto"/>
          <w:kern w:val="2"/>
          <w:sz w:val="32"/>
          <w:szCs w:val="32"/>
          <w:lang w:val="en-US" w:eastAsia="zh-CN" w:bidi="ar"/>
        </w:rPr>
        <w:t>（省人力资源社会保障厅牵头负责）</w:t>
      </w:r>
    </w:p>
    <w:p w14:paraId="6CF7003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right="0" w:firstLine="632" w:firstLineChars="200"/>
        <w:jc w:val="both"/>
        <w:textAlignment w:val="auto"/>
        <w:rPr>
          <w:rFonts w:hint="eastAsia" w:ascii="仿宋_GB2312" w:eastAsia="仿宋_GB2312" w:cs="仿宋_GB2312"/>
          <w:color w:val="auto"/>
          <w:kern w:val="2"/>
          <w:sz w:val="32"/>
          <w:szCs w:val="32"/>
        </w:rPr>
      </w:pPr>
      <w:r>
        <w:rPr>
          <w:rFonts w:hint="eastAsia" w:ascii="楷体_GB2312" w:hAnsi="Calibri" w:eastAsia="楷体_GB2312" w:cs="楷体_GB2312"/>
          <w:color w:val="auto"/>
          <w:kern w:val="2"/>
          <w:sz w:val="32"/>
          <w:szCs w:val="32"/>
          <w:lang w:val="en-US" w:eastAsia="zh-CN" w:bidi="ar"/>
        </w:rPr>
        <w:t>（十三）提高灵活就业人员职业能力水平。</w:t>
      </w:r>
      <w:r>
        <w:rPr>
          <w:rFonts w:hint="eastAsia" w:ascii="仿宋_GB2312" w:hAnsi="Calibri" w:eastAsia="仿宋_GB2312" w:cs="仿宋_GB2312"/>
          <w:color w:val="auto"/>
          <w:kern w:val="2"/>
          <w:sz w:val="32"/>
          <w:szCs w:val="32"/>
          <w:lang w:val="en-US" w:eastAsia="zh-CN" w:bidi="ar"/>
        </w:rPr>
        <w:t>鼓励引导灵活就业人员参加无人机操控、AI应用等灵活就业新业态职业技能培训。强化灵活就业相关岗位产教融合实训，联合职业院校开发线上线下一体化技能培训项目，开展培训进校园系列活动，为即将灵活就业的毕业生提供就业技能培训，鼓励龙头企业开放实训资源。推进网约配送、网络营销等灵活就业相关的技能类职业（工种）评价工作，支持灵活就业人员参加职业技能等级认定。为符合条件的灵活就业人员落实相应人才政策支持，拓宽灵活就业群体职业上升渠道。</w:t>
      </w:r>
      <w:r>
        <w:rPr>
          <w:rFonts w:hint="eastAsia" w:ascii="楷体_GB2312" w:hAnsi="Calibri" w:eastAsia="楷体_GB2312" w:cs="楷体_GB2312"/>
          <w:color w:val="auto"/>
          <w:kern w:val="2"/>
          <w:sz w:val="32"/>
          <w:szCs w:val="32"/>
          <w:lang w:val="en-US" w:eastAsia="zh-CN" w:bidi="ar"/>
        </w:rPr>
        <w:t>（省人力资源社会保障厅牵头负责）</w:t>
      </w:r>
    </w:p>
    <w:p w14:paraId="0AC9345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right="0" w:firstLine="632" w:firstLineChars="200"/>
        <w:jc w:val="both"/>
        <w:textAlignment w:val="auto"/>
        <w:rPr>
          <w:rFonts w:hint="eastAsia" w:ascii="仿宋_GB2312" w:eastAsia="仿宋_GB2312" w:cs="仿宋_GB2312"/>
          <w:color w:val="auto"/>
          <w:kern w:val="2"/>
          <w:sz w:val="32"/>
          <w:szCs w:val="32"/>
        </w:rPr>
      </w:pPr>
      <w:r>
        <w:rPr>
          <w:rFonts w:hint="eastAsia" w:ascii="楷体_GB2312" w:hAnsi="Calibri" w:eastAsia="楷体_GB2312" w:cs="楷体_GB2312"/>
          <w:color w:val="auto"/>
          <w:kern w:val="2"/>
          <w:sz w:val="32"/>
          <w:szCs w:val="32"/>
          <w:lang w:val="en-US" w:eastAsia="zh-CN" w:bidi="ar"/>
        </w:rPr>
        <w:t>（十四）提高灵活就业人员社会保障水平。</w:t>
      </w:r>
      <w:r>
        <w:rPr>
          <w:rFonts w:hint="eastAsia" w:ascii="仿宋_GB2312" w:hAnsi="Calibri" w:eastAsia="仿宋_GB2312" w:cs="仿宋_GB2312"/>
          <w:color w:val="auto"/>
          <w:kern w:val="2"/>
          <w:sz w:val="32"/>
          <w:szCs w:val="32"/>
          <w:lang w:val="en-US" w:eastAsia="zh-CN" w:bidi="ar"/>
        </w:rPr>
        <w:t>按照国家统一部署，跟进做好国家层面关于完善灵活就业人员养老保险参保政策贯彻落实。深入实施“全民参保·福暖万家”工程，开展“社保政策进万家”专题宣传活动，突出灵活就业人员等重点群体，引导有条件的灵活就业人员参加职工养老保险，为其提供更可靠更充分的保障。严格落实职工和居民医保参保缴费不受户籍地限制政策，灵活就业人员既可以享受职工参保，也可以持居住证参加居民医保，享受与当地居民同等的政府参保补助和医疗费用报销待遇政策。</w:t>
      </w:r>
      <w:r>
        <w:rPr>
          <w:rFonts w:hint="eastAsia" w:ascii="楷体_GB2312" w:hAnsi="Calibri" w:eastAsia="楷体_GB2312" w:cs="楷体_GB2312"/>
          <w:color w:val="auto"/>
          <w:kern w:val="2"/>
          <w:sz w:val="32"/>
          <w:szCs w:val="32"/>
          <w:lang w:val="en-US" w:eastAsia="zh-CN" w:bidi="ar"/>
        </w:rPr>
        <w:t>（省人力资源社会保障厅、省医保局、省交通运输厅等按职责分工负责）</w:t>
      </w:r>
    </w:p>
    <w:p w14:paraId="338A9D2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right="0" w:firstLine="632" w:firstLineChars="200"/>
        <w:jc w:val="both"/>
        <w:textAlignment w:val="auto"/>
        <w:rPr>
          <w:rFonts w:hint="eastAsia" w:ascii="仿宋_GB2312" w:eastAsia="仿宋_GB2312" w:cs="仿宋_GB2312"/>
          <w:color w:val="auto"/>
          <w:kern w:val="2"/>
          <w:sz w:val="32"/>
          <w:szCs w:val="32"/>
        </w:rPr>
      </w:pPr>
      <w:r>
        <w:rPr>
          <w:rFonts w:hint="eastAsia" w:ascii="楷体_GB2312" w:hAnsi="Calibri" w:eastAsia="楷体_GB2312" w:cs="楷体_GB2312"/>
          <w:color w:val="auto"/>
          <w:kern w:val="2"/>
          <w:sz w:val="32"/>
          <w:szCs w:val="32"/>
          <w:lang w:val="en-US" w:eastAsia="zh-CN" w:bidi="ar"/>
        </w:rPr>
        <w:t>（十五）提高灵活就业人员公共服务保障水平。</w:t>
      </w:r>
      <w:r>
        <w:rPr>
          <w:rFonts w:hint="eastAsia" w:ascii="仿宋_GB2312" w:hAnsi="Calibri" w:eastAsia="仿宋_GB2312" w:cs="仿宋_GB2312"/>
          <w:color w:val="auto"/>
          <w:kern w:val="2"/>
          <w:sz w:val="32"/>
          <w:szCs w:val="32"/>
          <w:lang w:val="en-US" w:eastAsia="zh-CN" w:bidi="ar"/>
        </w:rPr>
        <w:t>在城市连续缴纳社会保险满一定年限的灵活就业人员，可依据所在城市相关政策申请配租型和配售型保障性住房，支持灵活就业人员参加住房公积金制度。以公办学校为主阵地，将灵活就业人员随迁子女全部纳入流入地义务教育保障范围。将农村转移到城镇</w:t>
      </w:r>
      <w:r>
        <w:rPr>
          <w:rFonts w:hint="eastAsia" w:ascii="仿宋_GB2312" w:hAnsi="Calibri" w:eastAsia="仿宋_GB2312" w:cs="仿宋_GB2312"/>
          <w:color w:val="auto"/>
          <w:kern w:val="2"/>
          <w:sz w:val="32"/>
          <w:szCs w:val="32"/>
          <w:lang w:val="en-US" w:eastAsia="zh" w:bidi="ar"/>
        </w:rPr>
        <w:t>的</w:t>
      </w:r>
      <w:r>
        <w:rPr>
          <w:rFonts w:hint="eastAsia" w:ascii="仿宋_GB2312" w:hAnsi="Calibri" w:eastAsia="仿宋_GB2312" w:cs="仿宋_GB2312"/>
          <w:color w:val="auto"/>
          <w:kern w:val="2"/>
          <w:sz w:val="32"/>
          <w:szCs w:val="32"/>
          <w:lang w:val="en-US" w:eastAsia="zh-CN" w:bidi="ar"/>
        </w:rPr>
        <w:t>灵活就业人员纳入城镇社区卫生服务和医疗保障体系，提供健康教育、妇幼保健、预防接种、疾病防控等公共卫生服务，切实减轻其医疗负担。</w:t>
      </w:r>
      <w:r>
        <w:rPr>
          <w:rFonts w:hint="eastAsia" w:ascii="楷体_GB2312" w:hAnsi="Calibri" w:eastAsia="楷体_GB2312" w:cs="楷体_GB2312"/>
          <w:color w:val="auto"/>
          <w:kern w:val="2"/>
          <w:sz w:val="32"/>
          <w:szCs w:val="32"/>
          <w:lang w:val="en-US" w:eastAsia="zh-CN" w:bidi="ar"/>
        </w:rPr>
        <w:t>（省教育厅、省人力资源社会保障厅、省住房城乡建设厅、省卫生健康委、省医保局等按职责分工负责）</w:t>
      </w:r>
    </w:p>
    <w:p w14:paraId="537EC16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right="0" w:firstLine="632" w:firstLineChars="200"/>
        <w:jc w:val="both"/>
        <w:textAlignment w:val="auto"/>
        <w:rPr>
          <w:rFonts w:hint="eastAsia" w:ascii="楷体_GB2312" w:hAnsi="Calibri" w:eastAsia="楷体_GB2312" w:cs="楷体_GB2312"/>
          <w:color w:val="auto"/>
          <w:kern w:val="2"/>
          <w:sz w:val="32"/>
          <w:szCs w:val="32"/>
          <w:lang w:val="en-US" w:eastAsia="zh-CN" w:bidi="ar"/>
        </w:rPr>
      </w:pPr>
      <w:r>
        <w:rPr>
          <w:rFonts w:hint="eastAsia" w:ascii="楷体_GB2312" w:hAnsi="Calibri" w:eastAsia="楷体_GB2312" w:cs="楷体_GB2312"/>
          <w:color w:val="auto"/>
          <w:kern w:val="2"/>
          <w:sz w:val="32"/>
          <w:szCs w:val="32"/>
          <w:lang w:val="en-US" w:eastAsia="zh-CN" w:bidi="ar"/>
        </w:rPr>
        <w:t>（十六）提高灵活就业人员职业荣誉感。</w:t>
      </w:r>
      <w:r>
        <w:rPr>
          <w:rFonts w:hint="eastAsia" w:ascii="仿宋_GB2312" w:hAnsi="Calibri" w:eastAsia="仿宋_GB2312" w:cs="仿宋_GB2312"/>
          <w:color w:val="auto"/>
          <w:kern w:val="2"/>
          <w:sz w:val="32"/>
          <w:szCs w:val="32"/>
          <w:lang w:val="en-US" w:eastAsia="zh-CN" w:bidi="ar"/>
        </w:rPr>
        <w:t>深入挖掘并广泛宣传灵活就业人员中的先进事迹和典型人物，讲好灵活就业故事，让灵活就业人员的劳动付出被看见、被尊重，营造关心关爱灵活就业人员的浓厚氛围。鼓励平台企业在春节等重大节日组织开展慰问活动，维护灵活就业人员职业尊严。推动灵活就业人员受到社会尊重，展现其职业真正价值。</w:t>
      </w:r>
      <w:r>
        <w:rPr>
          <w:rFonts w:hint="eastAsia" w:ascii="楷体_GB2312" w:hAnsi="Calibri" w:eastAsia="楷体_GB2312" w:cs="楷体_GB2312"/>
          <w:color w:val="auto"/>
          <w:kern w:val="2"/>
          <w:sz w:val="32"/>
          <w:szCs w:val="32"/>
          <w:lang w:val="en-US" w:eastAsia="zh-CN" w:bidi="ar"/>
        </w:rPr>
        <w:t>（省委宣传部、省委社会工作部，省人力资源社会保障厅等按职责分工负责）</w:t>
      </w:r>
    </w:p>
    <w:p w14:paraId="150900E2">
      <w:pPr>
        <w:pStyle w:val="6"/>
        <w:keepNext w:val="0"/>
        <w:keepLines w:val="0"/>
        <w:pageBreakBefore w:val="0"/>
        <w:widowControl w:val="0"/>
        <w:suppressLineNumbers w:val="0"/>
        <w:kinsoku/>
        <w:wordWrap/>
        <w:overflowPunct/>
        <w:topLinePunct w:val="0"/>
        <w:autoSpaceDE w:val="0"/>
        <w:autoSpaceDN/>
        <w:bidi w:val="0"/>
        <w:adjustRightInd/>
        <w:snapToGrid/>
        <w:spacing w:line="560" w:lineRule="exact"/>
        <w:ind w:firstLine="632" w:firstLineChars="200"/>
        <w:textAlignment w:val="auto"/>
        <w:rPr>
          <w:rFonts w:hint="eastAsia" w:ascii="仿宋_GB2312" w:eastAsia="仿宋_GB2312" w:cs="仿宋_GB2312"/>
          <w:color w:val="auto"/>
          <w:kern w:val="2"/>
          <w:sz w:val="32"/>
          <w:szCs w:val="32"/>
        </w:rPr>
      </w:pPr>
      <w:r>
        <w:rPr>
          <w:rFonts w:hint="eastAsia" w:ascii="仿宋_GB2312" w:eastAsia="仿宋_GB2312" w:cs="仿宋_GB2312"/>
          <w:color w:val="auto"/>
          <w:kern w:val="2"/>
          <w:sz w:val="32"/>
          <w:szCs w:val="32"/>
        </w:rPr>
        <w:t>各级各有关部门要将推动灵活就业健康发展作为稳就业稳经济的重要内容，纳入地方民生实事项目，确保各项措施落到实处。各有关职能部门要加强协同联动、统筹协调，对落实本行动方案情况及时开展指导调研，发现并解决工作中存在的问题，营造良好工作氛围。</w:t>
      </w:r>
    </w:p>
    <w:p w14:paraId="1FD7333C">
      <w:pPr>
        <w:pStyle w:val="5"/>
        <w:keepNext w:val="0"/>
        <w:keepLines w:val="0"/>
        <w:pageBreakBefore w:val="0"/>
        <w:widowControl w:val="0"/>
        <w:kinsoku/>
        <w:wordWrap/>
        <w:overflowPunct/>
        <w:topLinePunct w:val="0"/>
        <w:bidi w:val="0"/>
        <w:adjustRightInd/>
        <w:snapToGrid/>
        <w:spacing w:line="550" w:lineRule="exact"/>
        <w:ind w:right="0" w:rightChars="0"/>
        <w:textAlignment w:val="auto"/>
        <w:outlineLvl w:val="9"/>
        <w:rPr>
          <w:color w:val="auto"/>
        </w:rPr>
        <w:sectPr>
          <w:footerReference r:id="rId3" w:type="default"/>
          <w:pgSz w:w="11906" w:h="16838"/>
          <w:pgMar w:top="2098" w:right="1531" w:bottom="1814" w:left="1531" w:header="851" w:footer="1587" w:gutter="0"/>
          <w:pgNumType w:fmt="decimal"/>
          <w:cols w:space="0" w:num="1"/>
          <w:rtlGutter w:val="0"/>
          <w:docGrid w:type="linesAndChars" w:linePitch="587" w:charSpace="-849"/>
        </w:sectPr>
      </w:pPr>
    </w:p>
    <w:p w14:paraId="696E52B2">
      <w:pPr>
        <w:pStyle w:val="5"/>
        <w:keepNext w:val="0"/>
        <w:keepLines w:val="0"/>
        <w:pageBreakBefore w:val="0"/>
        <w:widowControl w:val="0"/>
        <w:kinsoku/>
        <w:wordWrap/>
        <w:overflowPunct/>
        <w:topLinePunct w:val="0"/>
        <w:bidi w:val="0"/>
        <w:adjustRightInd/>
        <w:snapToGrid/>
        <w:spacing w:line="550" w:lineRule="exact"/>
        <w:ind w:right="0" w:rightChars="0"/>
        <w:textAlignment w:val="auto"/>
        <w:outlineLvl w:val="9"/>
        <w:rPr>
          <w:color w:val="auto"/>
        </w:rPr>
      </w:pPr>
    </w:p>
    <w:p w14:paraId="62FA7E23">
      <w:pPr>
        <w:pStyle w:val="5"/>
        <w:keepNext w:val="0"/>
        <w:keepLines w:val="0"/>
        <w:pageBreakBefore w:val="0"/>
        <w:widowControl w:val="0"/>
        <w:kinsoku/>
        <w:wordWrap/>
        <w:overflowPunct/>
        <w:topLinePunct w:val="0"/>
        <w:bidi w:val="0"/>
        <w:adjustRightInd/>
        <w:snapToGrid/>
        <w:spacing w:line="550" w:lineRule="exact"/>
        <w:ind w:right="0" w:rightChars="0"/>
        <w:textAlignment w:val="auto"/>
        <w:outlineLvl w:val="9"/>
        <w:rPr>
          <w:color w:val="auto"/>
        </w:rPr>
      </w:pPr>
    </w:p>
    <w:p w14:paraId="7742F5C2">
      <w:pPr>
        <w:pStyle w:val="5"/>
        <w:keepNext w:val="0"/>
        <w:keepLines w:val="0"/>
        <w:pageBreakBefore w:val="0"/>
        <w:widowControl w:val="0"/>
        <w:kinsoku/>
        <w:wordWrap/>
        <w:overflowPunct/>
        <w:topLinePunct w:val="0"/>
        <w:bidi w:val="0"/>
        <w:adjustRightInd/>
        <w:snapToGrid/>
        <w:spacing w:line="550" w:lineRule="exact"/>
        <w:ind w:right="0" w:rightChars="0"/>
        <w:textAlignment w:val="auto"/>
        <w:outlineLvl w:val="9"/>
        <w:rPr>
          <w:color w:val="auto"/>
        </w:rPr>
      </w:pPr>
    </w:p>
    <w:p w14:paraId="06D9A70A">
      <w:pPr>
        <w:pStyle w:val="5"/>
        <w:keepNext w:val="0"/>
        <w:keepLines w:val="0"/>
        <w:pageBreakBefore w:val="0"/>
        <w:widowControl w:val="0"/>
        <w:kinsoku/>
        <w:wordWrap/>
        <w:overflowPunct/>
        <w:topLinePunct w:val="0"/>
        <w:bidi w:val="0"/>
        <w:adjustRightInd/>
        <w:snapToGrid/>
        <w:spacing w:line="550" w:lineRule="exact"/>
        <w:ind w:right="0" w:rightChars="0"/>
        <w:textAlignment w:val="auto"/>
        <w:outlineLvl w:val="9"/>
        <w:rPr>
          <w:color w:val="auto"/>
        </w:rPr>
      </w:pPr>
    </w:p>
    <w:p w14:paraId="337B459E">
      <w:pPr>
        <w:pStyle w:val="5"/>
        <w:keepNext w:val="0"/>
        <w:keepLines w:val="0"/>
        <w:pageBreakBefore w:val="0"/>
        <w:widowControl w:val="0"/>
        <w:kinsoku/>
        <w:wordWrap/>
        <w:overflowPunct/>
        <w:topLinePunct w:val="0"/>
        <w:bidi w:val="0"/>
        <w:adjustRightInd/>
        <w:snapToGrid/>
        <w:spacing w:line="550" w:lineRule="exact"/>
        <w:ind w:right="0" w:rightChars="0"/>
        <w:textAlignment w:val="auto"/>
        <w:outlineLvl w:val="9"/>
        <w:rPr>
          <w:color w:val="auto"/>
        </w:rPr>
      </w:pPr>
    </w:p>
    <w:p w14:paraId="42EC0614">
      <w:pPr>
        <w:pStyle w:val="5"/>
        <w:keepNext w:val="0"/>
        <w:keepLines w:val="0"/>
        <w:pageBreakBefore w:val="0"/>
        <w:widowControl w:val="0"/>
        <w:kinsoku/>
        <w:wordWrap/>
        <w:overflowPunct/>
        <w:topLinePunct w:val="0"/>
        <w:bidi w:val="0"/>
        <w:adjustRightInd/>
        <w:snapToGrid/>
        <w:spacing w:line="550" w:lineRule="exact"/>
        <w:ind w:right="0" w:rightChars="0"/>
        <w:textAlignment w:val="auto"/>
        <w:outlineLvl w:val="9"/>
        <w:rPr>
          <w:color w:val="auto"/>
        </w:rPr>
      </w:pPr>
    </w:p>
    <w:p w14:paraId="2457143B">
      <w:pPr>
        <w:pStyle w:val="5"/>
        <w:keepNext w:val="0"/>
        <w:keepLines w:val="0"/>
        <w:pageBreakBefore w:val="0"/>
        <w:widowControl w:val="0"/>
        <w:kinsoku/>
        <w:wordWrap/>
        <w:overflowPunct/>
        <w:topLinePunct w:val="0"/>
        <w:bidi w:val="0"/>
        <w:adjustRightInd/>
        <w:snapToGrid/>
        <w:spacing w:line="550" w:lineRule="exact"/>
        <w:ind w:right="0" w:rightChars="0"/>
        <w:textAlignment w:val="auto"/>
        <w:outlineLvl w:val="9"/>
        <w:rPr>
          <w:color w:val="auto"/>
        </w:rPr>
      </w:pPr>
    </w:p>
    <w:p w14:paraId="0DFA66B7">
      <w:pPr>
        <w:pStyle w:val="5"/>
        <w:keepNext w:val="0"/>
        <w:keepLines w:val="0"/>
        <w:pageBreakBefore w:val="0"/>
        <w:widowControl w:val="0"/>
        <w:kinsoku/>
        <w:wordWrap/>
        <w:overflowPunct/>
        <w:topLinePunct w:val="0"/>
        <w:bidi w:val="0"/>
        <w:adjustRightInd/>
        <w:snapToGrid/>
        <w:spacing w:line="550" w:lineRule="exact"/>
        <w:ind w:right="0" w:rightChars="0"/>
        <w:textAlignment w:val="auto"/>
        <w:outlineLvl w:val="9"/>
        <w:rPr>
          <w:color w:val="auto"/>
        </w:rPr>
      </w:pPr>
    </w:p>
    <w:p w14:paraId="5C90BD34">
      <w:pPr>
        <w:pStyle w:val="5"/>
        <w:keepNext w:val="0"/>
        <w:keepLines w:val="0"/>
        <w:pageBreakBefore w:val="0"/>
        <w:widowControl w:val="0"/>
        <w:kinsoku/>
        <w:wordWrap/>
        <w:overflowPunct/>
        <w:topLinePunct w:val="0"/>
        <w:bidi w:val="0"/>
        <w:adjustRightInd/>
        <w:snapToGrid/>
        <w:spacing w:line="550" w:lineRule="exact"/>
        <w:ind w:right="0" w:rightChars="0"/>
        <w:textAlignment w:val="auto"/>
        <w:outlineLvl w:val="9"/>
        <w:rPr>
          <w:color w:val="auto"/>
        </w:rPr>
      </w:pPr>
    </w:p>
    <w:p w14:paraId="5522135B">
      <w:pPr>
        <w:pStyle w:val="5"/>
        <w:keepNext w:val="0"/>
        <w:keepLines w:val="0"/>
        <w:pageBreakBefore w:val="0"/>
        <w:widowControl w:val="0"/>
        <w:kinsoku/>
        <w:wordWrap/>
        <w:overflowPunct/>
        <w:topLinePunct w:val="0"/>
        <w:bidi w:val="0"/>
        <w:adjustRightInd/>
        <w:snapToGrid/>
        <w:spacing w:line="550" w:lineRule="exact"/>
        <w:ind w:right="0" w:rightChars="0"/>
        <w:textAlignment w:val="auto"/>
        <w:outlineLvl w:val="9"/>
        <w:rPr>
          <w:color w:val="auto"/>
        </w:rPr>
      </w:pPr>
    </w:p>
    <w:p w14:paraId="694AFDF0">
      <w:pPr>
        <w:pStyle w:val="5"/>
        <w:keepNext w:val="0"/>
        <w:keepLines w:val="0"/>
        <w:pageBreakBefore w:val="0"/>
        <w:widowControl w:val="0"/>
        <w:kinsoku/>
        <w:wordWrap/>
        <w:overflowPunct/>
        <w:topLinePunct w:val="0"/>
        <w:bidi w:val="0"/>
        <w:adjustRightInd/>
        <w:snapToGrid/>
        <w:spacing w:line="550" w:lineRule="exact"/>
        <w:ind w:right="0" w:rightChars="0"/>
        <w:textAlignment w:val="auto"/>
        <w:outlineLvl w:val="9"/>
        <w:rPr>
          <w:color w:val="auto"/>
        </w:rPr>
      </w:pPr>
    </w:p>
    <w:p w14:paraId="26C82564">
      <w:pPr>
        <w:pStyle w:val="5"/>
        <w:keepNext w:val="0"/>
        <w:keepLines w:val="0"/>
        <w:pageBreakBefore w:val="0"/>
        <w:widowControl w:val="0"/>
        <w:kinsoku/>
        <w:wordWrap/>
        <w:overflowPunct/>
        <w:topLinePunct w:val="0"/>
        <w:bidi w:val="0"/>
        <w:adjustRightInd/>
        <w:snapToGrid/>
        <w:spacing w:line="550" w:lineRule="exact"/>
        <w:ind w:right="0" w:rightChars="0"/>
        <w:textAlignment w:val="auto"/>
        <w:outlineLvl w:val="9"/>
        <w:rPr>
          <w:color w:val="auto"/>
        </w:rPr>
      </w:pPr>
    </w:p>
    <w:p w14:paraId="2882A05E">
      <w:pPr>
        <w:pStyle w:val="5"/>
        <w:keepNext w:val="0"/>
        <w:keepLines w:val="0"/>
        <w:pageBreakBefore w:val="0"/>
        <w:widowControl w:val="0"/>
        <w:kinsoku/>
        <w:wordWrap/>
        <w:overflowPunct/>
        <w:topLinePunct w:val="0"/>
        <w:bidi w:val="0"/>
        <w:adjustRightInd/>
        <w:snapToGrid/>
        <w:spacing w:line="550" w:lineRule="exact"/>
        <w:ind w:right="0" w:rightChars="0"/>
        <w:textAlignment w:val="auto"/>
        <w:outlineLvl w:val="9"/>
        <w:rPr>
          <w:color w:val="auto"/>
        </w:rPr>
      </w:pPr>
    </w:p>
    <w:p w14:paraId="7E3C3D5D">
      <w:pPr>
        <w:pStyle w:val="5"/>
        <w:keepNext w:val="0"/>
        <w:keepLines w:val="0"/>
        <w:pageBreakBefore w:val="0"/>
        <w:widowControl w:val="0"/>
        <w:kinsoku/>
        <w:wordWrap/>
        <w:overflowPunct/>
        <w:topLinePunct w:val="0"/>
        <w:bidi w:val="0"/>
        <w:adjustRightInd/>
        <w:snapToGrid/>
        <w:spacing w:line="550" w:lineRule="exact"/>
        <w:ind w:right="0" w:rightChars="0"/>
        <w:textAlignment w:val="auto"/>
        <w:outlineLvl w:val="9"/>
        <w:rPr>
          <w:color w:val="auto"/>
        </w:rPr>
      </w:pPr>
    </w:p>
    <w:p w14:paraId="7518AF8A">
      <w:pPr>
        <w:pStyle w:val="5"/>
        <w:keepNext w:val="0"/>
        <w:keepLines w:val="0"/>
        <w:pageBreakBefore w:val="0"/>
        <w:widowControl w:val="0"/>
        <w:kinsoku/>
        <w:wordWrap/>
        <w:overflowPunct/>
        <w:topLinePunct w:val="0"/>
        <w:bidi w:val="0"/>
        <w:adjustRightInd/>
        <w:snapToGrid/>
        <w:spacing w:line="550" w:lineRule="exact"/>
        <w:ind w:right="0" w:rightChars="0"/>
        <w:textAlignment w:val="auto"/>
        <w:outlineLvl w:val="9"/>
        <w:rPr>
          <w:color w:val="auto"/>
        </w:rPr>
      </w:pPr>
    </w:p>
    <w:p w14:paraId="2755C30F">
      <w:pPr>
        <w:pStyle w:val="5"/>
        <w:keepNext w:val="0"/>
        <w:keepLines w:val="0"/>
        <w:pageBreakBefore w:val="0"/>
        <w:widowControl w:val="0"/>
        <w:kinsoku/>
        <w:wordWrap/>
        <w:overflowPunct/>
        <w:topLinePunct w:val="0"/>
        <w:bidi w:val="0"/>
        <w:adjustRightInd/>
        <w:snapToGrid/>
        <w:spacing w:line="550" w:lineRule="exact"/>
        <w:ind w:right="0" w:rightChars="0"/>
        <w:textAlignment w:val="auto"/>
        <w:outlineLvl w:val="9"/>
        <w:rPr>
          <w:color w:val="auto"/>
        </w:rPr>
      </w:pPr>
      <w:r>
        <w:rPr>
          <w:rFonts w:hint="eastAsia" w:ascii="仿宋_GB2312" w:hAnsi="仿宋_GB2312" w:eastAsia="仿宋_GB2312" w:cs="仿宋_GB2312"/>
          <w:color w:val="auto"/>
          <w:sz w:val="28"/>
          <w:szCs w:val="28"/>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355600</wp:posOffset>
                </wp:positionV>
                <wp:extent cx="5615940" cy="0"/>
                <wp:effectExtent l="0" t="7620" r="0" b="8255"/>
                <wp:wrapNone/>
                <wp:docPr id="6" name="直接连接符 6"/>
                <wp:cNvGraphicFramePr/>
                <a:graphic xmlns:a="http://schemas.openxmlformats.org/drawingml/2006/main">
                  <a:graphicData uri="http://schemas.microsoft.com/office/word/2010/wordprocessingShape">
                    <wps:wsp>
                      <wps:cNvCnPr/>
                      <wps:spPr>
                        <a:xfrm>
                          <a:off x="0" y="0"/>
                          <a:ext cx="5615940" cy="0"/>
                        </a:xfrm>
                        <a:prstGeom prst="line">
                          <a:avLst/>
                        </a:prstGeom>
                        <a:ln w="1587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28pt;height:0pt;width:442.2pt;z-index:251663360;mso-width-relative:page;mso-height-relative:page;" filled="f" stroked="t" coordsize="21600,21600" o:gfxdata="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PCK4K3WAAAABgEAAA8AAAAAAAAAAQAgAAAAIgAAAGRycy9kb3ducmV2Lnht&#10;bFBLAQIUABQAAAAIAIdO4kCXMagL+wEAAPMDAAAOAAAAAAAAAAEAIAAAACUBAABkcnMvZTJvRG9j&#10;LnhtbFBLBQYAAAAABgAGAFkBAACSBQAAAAA=&#10;">
                <v:fill on="f" focussize="0,0"/>
                <v:stroke weight="1.25pt" color="#000000" joinstyle="round"/>
                <v:imagedata o:title=""/>
                <o:lock v:ext="edit" aspectratio="f"/>
              </v:line>
            </w:pict>
          </mc:Fallback>
        </mc:AlternateContent>
      </w:r>
    </w:p>
    <w:p w14:paraId="6EE89285">
      <w:pPr>
        <w:keepNext w:val="0"/>
        <w:keepLines w:val="0"/>
        <w:pageBreakBefore w:val="0"/>
        <w:widowControl w:val="0"/>
        <w:kinsoku/>
        <w:wordWrap/>
        <w:overflowPunct/>
        <w:topLinePunct w:val="0"/>
        <w:autoSpaceDE/>
        <w:autoSpaceDN/>
        <w:bidi w:val="0"/>
        <w:adjustRightInd/>
        <w:snapToGrid/>
        <w:spacing w:line="240" w:lineRule="auto"/>
        <w:ind w:left="1144" w:leftChars="100" w:right="316" w:rightChars="100" w:hanging="828" w:hangingChars="300"/>
        <w:jc w:val="both"/>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eastAsia="zh-CN"/>
        </w:rPr>
        <w:t>主送：</w:t>
      </w:r>
      <w:r>
        <w:rPr>
          <w:rFonts w:hint="eastAsia" w:ascii="仿宋_GB2312" w:hAnsi="仿宋_GB2312" w:eastAsia="仿宋_GB2312" w:cs="仿宋_GB2312"/>
          <w:color w:val="auto"/>
          <w:sz w:val="28"/>
          <w:szCs w:val="28"/>
        </w:rPr>
        <w:t>各市党委宣传部、社会工作部，政府人力资源社会保障局、发展改革委、教育局、工业和信息化局、财政局、住房城乡建设局、交通运输局、农业农村局、商务</w:t>
      </w:r>
      <w:r>
        <w:rPr>
          <w:rFonts w:hint="eastAsia" w:ascii="仿宋_GB2312" w:hAnsi="仿宋_GB2312" w:eastAsia="仿宋_GB2312" w:cs="仿宋_GB2312"/>
          <w:color w:val="auto"/>
          <w:sz w:val="28"/>
          <w:szCs w:val="28"/>
          <w:lang w:eastAsia="zh-CN"/>
        </w:rPr>
        <w:t>局</w:t>
      </w:r>
      <w:r>
        <w:rPr>
          <w:rFonts w:hint="eastAsia" w:ascii="仿宋_GB2312" w:hAnsi="仿宋_GB2312" w:eastAsia="仿宋_GB2312" w:cs="仿宋_GB2312"/>
          <w:color w:val="auto"/>
          <w:sz w:val="28"/>
          <w:szCs w:val="28"/>
        </w:rPr>
        <w:t>、卫生健康委、市场监管局、医保局、大数据局，人民银行各市分行、各市金融监管局、邮政管理局</w:t>
      </w:r>
      <w:r>
        <w:rPr>
          <w:rFonts w:hint="eastAsia" w:ascii="仿宋_GB2312" w:hAnsi="仿宋_GB2312" w:eastAsia="仿宋_GB2312" w:cs="仿宋_GB2312"/>
          <w:color w:val="auto"/>
          <w:sz w:val="28"/>
          <w:szCs w:val="28"/>
          <w:lang w:eastAsia="zh-CN"/>
        </w:rPr>
        <w:t>。</w:t>
      </w:r>
    </w:p>
    <w:p w14:paraId="1C438B52">
      <w:pPr>
        <w:keepNext w:val="0"/>
        <w:keepLines w:val="0"/>
        <w:pageBreakBefore w:val="0"/>
        <w:widowControl w:val="0"/>
        <w:kinsoku/>
        <w:wordWrap/>
        <w:overflowPunct/>
        <w:topLinePunct w:val="0"/>
        <w:autoSpaceDE/>
        <w:autoSpaceDN/>
        <w:bidi w:val="0"/>
        <w:adjustRightInd/>
        <w:snapToGrid/>
        <w:spacing w:line="240" w:lineRule="auto"/>
        <w:ind w:left="316" w:leftChars="100" w:right="316" w:rightChars="1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5080</wp:posOffset>
                </wp:positionV>
                <wp:extent cx="5615940" cy="0"/>
                <wp:effectExtent l="0" t="4445" r="0" b="5080"/>
                <wp:wrapNone/>
                <wp:docPr id="3" name="直接连接符 3"/>
                <wp:cNvGraphicFramePr/>
                <a:graphic xmlns:a="http://schemas.openxmlformats.org/drawingml/2006/main">
                  <a:graphicData uri="http://schemas.microsoft.com/office/word/2010/wordprocessingShape">
                    <wps:wsp>
                      <wps:cNvCnPr/>
                      <wps:spPr>
                        <a:xfrm>
                          <a:off x="0" y="0"/>
                          <a:ext cx="5615940" cy="0"/>
                        </a:xfrm>
                        <a:prstGeom prst="line">
                          <a:avLst/>
                        </a:prstGeom>
                        <a:ln w="635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0.4pt;height:0pt;width:442.2pt;z-index:251661312;mso-width-relative:page;mso-height-relative:page;" filled="f" stroked="t" coordsize="21600,21600" o:gfxdata="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1YHQlzwAAAAIBAAAPAAAAAAAAAAEAIAAAACIAAABkcnMvZG93bnJldi54bWxQSwECFAAU&#10;AAAACACHTuJAAvtMMvoBAADyAwAADgAAAAAAAAABACAAAAAeAQAAZHJzL2Uyb0RvYy54bWxQSwUG&#10;AAAAAAYABgBZAQAAigUAAAAA&#10;">
                <v:fill on="f" focussize="0,0"/>
                <v:stroke weight="0.5pt" color="#000000" joinstyle="round"/>
                <v:imagedata o:title=""/>
                <o:lock v:ext="edit" aspectratio="f"/>
              </v:line>
            </w:pict>
          </mc:Fallback>
        </mc:AlternateContent>
      </w:r>
      <w:r>
        <w:rPr>
          <w:rFonts w:hint="eastAsia" w:ascii="仿宋_GB2312" w:hAnsi="仿宋_GB2312" w:eastAsia="仿宋_GB2312" w:cs="仿宋_GB2312"/>
          <w:color w:val="auto"/>
          <w:sz w:val="28"/>
          <w:szCs w:val="28"/>
        </w:rPr>
        <w:t>山东省人力资源和社会保障厅办公室</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color w:val="auto"/>
          <w:sz w:val="28"/>
          <w:szCs w:val="28"/>
          <w:lang w:val="en-US" w:eastAsia="zh-CN"/>
        </w:rPr>
        <w:t>2026年4月8</w:t>
      </w:r>
      <w:r>
        <w:rPr>
          <w:rFonts w:hint="eastAsia" w:ascii="仿宋_GB2312" w:hAnsi="仿宋_GB2312" w:eastAsia="仿宋_GB2312" w:cs="仿宋_GB2312"/>
          <w:color w:val="auto"/>
          <w:sz w:val="28"/>
          <w:szCs w:val="28"/>
        </w:rPr>
        <w:t>日印发</w:t>
      </w:r>
    </w:p>
    <w:p w14:paraId="67AFB213">
      <w:pPr>
        <w:pStyle w:val="5"/>
        <w:keepNext w:val="0"/>
        <w:keepLines w:val="0"/>
        <w:pageBreakBefore w:val="0"/>
        <w:widowControl w:val="0"/>
        <w:kinsoku/>
        <w:wordWrap/>
        <w:overflowPunct/>
        <w:topLinePunct w:val="0"/>
        <w:autoSpaceDE/>
        <w:autoSpaceDN/>
        <w:bidi w:val="0"/>
        <w:adjustRightInd/>
        <w:snapToGrid/>
        <w:spacing w:line="240" w:lineRule="auto"/>
        <w:ind w:left="316" w:leftChars="100" w:right="316" w:rightChars="100"/>
        <w:textAlignment w:val="auto"/>
        <w:rPr>
          <w:rFonts w:hint="default" w:ascii="仿宋_GB2312" w:eastAsia="仿宋_GB2312" w:cs="仿宋_GB2312"/>
          <w:color w:val="auto"/>
          <w:kern w:val="2"/>
          <w:sz w:val="32"/>
          <w:szCs w:val="32"/>
          <w:lang w:val="en-US" w:eastAsia="zh-CN"/>
        </w:rPr>
      </w:pPr>
      <w:r>
        <w:rPr>
          <w:rFonts w:hint="eastAsia" w:ascii="仿宋_GB2312" w:hAnsi="仿宋_GB2312" w:eastAsia="仿宋_GB2312" w:cs="仿宋_GB2312"/>
          <w:color w:val="auto"/>
          <w:sz w:val="28"/>
          <w:szCs w:val="28"/>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364490</wp:posOffset>
                </wp:positionV>
                <wp:extent cx="5615940" cy="0"/>
                <wp:effectExtent l="0" t="7620" r="0" b="8255"/>
                <wp:wrapNone/>
                <wp:docPr id="4" name="直接连接符 4"/>
                <wp:cNvGraphicFramePr/>
                <a:graphic xmlns:a="http://schemas.openxmlformats.org/drawingml/2006/main">
                  <a:graphicData uri="http://schemas.microsoft.com/office/word/2010/wordprocessingShape">
                    <wps:wsp>
                      <wps:cNvCnPr/>
                      <wps:spPr>
                        <a:xfrm>
                          <a:off x="0" y="0"/>
                          <a:ext cx="5615940" cy="0"/>
                        </a:xfrm>
                        <a:prstGeom prst="line">
                          <a:avLst/>
                        </a:prstGeom>
                        <a:ln w="1587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28.7pt;height:0pt;width:442.2pt;z-index:251662336;mso-width-relative:page;mso-height-relative:page;" filled="f" stroked="t" coordsize="21600,21600" o:gfxdata="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3PNPmdUAAAAGAQAADwAAAAAAAAABACAAAAAiAAAAZHJzL2Rvd25yZXYueG1s&#10;UEsBAhQAFAAAAAgAh07iQA1rPob7AQAA8wMAAA4AAAAAAAAAAQAgAAAAJAEAAGRycy9lMm9Eb2Mu&#10;eG1sUEsFBgAAAAAGAAYAWQEAAJEFAAAAAA==&#10;">
                <v:fill on="f" focussize="0,0"/>
                <v:stroke weight="1.25pt" color="#000000" joinstyle="round"/>
                <v:imagedata o:title=""/>
                <o:lock v:ext="edit" aspectratio="f"/>
              </v:line>
            </w:pict>
          </mc:Fallback>
        </mc:AlternateContent>
      </w:r>
      <w:r>
        <w:rPr>
          <w:rFonts w:hint="eastAsia" w:ascii="仿宋_GB2312" w:hAnsi="仿宋_GB2312" w:eastAsia="仿宋_GB2312" w:cs="仿宋_GB2312"/>
          <w:color w:val="auto"/>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2540</wp:posOffset>
                </wp:positionV>
                <wp:extent cx="5615940" cy="0"/>
                <wp:effectExtent l="0" t="4445" r="0" b="5080"/>
                <wp:wrapNone/>
                <wp:docPr id="5" name="直接连接符 5"/>
                <wp:cNvGraphicFramePr/>
                <a:graphic xmlns:a="http://schemas.openxmlformats.org/drawingml/2006/main">
                  <a:graphicData uri="http://schemas.microsoft.com/office/word/2010/wordprocessingShape">
                    <wps:wsp>
                      <wps:cNvCnPr/>
                      <wps:spPr>
                        <a:xfrm>
                          <a:off x="0" y="0"/>
                          <a:ext cx="5615940" cy="0"/>
                        </a:xfrm>
                        <a:prstGeom prst="line">
                          <a:avLst/>
                        </a:prstGeom>
                        <a:ln w="635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0.2pt;height:0pt;width:442.2pt;z-index:251660288;mso-width-relative:page;mso-height-relative:page;" filled="f" stroked="t" coordsize="21600,21600" o:gfxdata="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Pu716jQAAAAAgEAAA8AAAAAAAAAAQAgAAAAIgAAAGRycy9kb3ducmV2LnhtbFBLAQIUABQA&#10;AAAIAIdO4kBiTMRL+AEAAPIDAAAOAAAAAAAAAAEAIAAAAB8BAABkcnMvZTJvRG9jLnhtbFBLBQYA&#10;AAAABgAGAFkBAACJBQAAAAA=&#10;">
                <v:fill on="f" focussize="0,0"/>
                <v:stroke weight="0.5pt" color="#000000" joinstyle="round"/>
                <v:imagedata o:title=""/>
                <o:lock v:ext="edit" aspectratio="f"/>
              </v:line>
            </w:pict>
          </mc:Fallback>
        </mc:AlternateContent>
      </w:r>
      <w:r>
        <w:rPr>
          <w:rFonts w:hint="eastAsia" w:ascii="仿宋_GB2312" w:hAnsi="仿宋_GB2312" w:eastAsia="仿宋_GB2312" w:cs="仿宋_GB2312"/>
          <w:color w:val="auto"/>
          <w:sz w:val="28"/>
          <w:szCs w:val="28"/>
        </w:rPr>
        <w:t>校核人：</w:t>
      </w:r>
      <w:r>
        <w:rPr>
          <w:rFonts w:hint="eastAsia" w:ascii="仿宋_GB2312" w:hAnsi="仿宋_GB2312" w:eastAsia="仿宋_GB2312" w:cs="仿宋_GB2312"/>
          <w:color w:val="auto"/>
          <w:sz w:val="28"/>
          <w:szCs w:val="28"/>
          <w:lang w:eastAsia="zh-CN"/>
        </w:rPr>
        <w:t>王诗喻</w:t>
      </w:r>
    </w:p>
    <w:sectPr>
      <w:footerReference r:id="rId4" w:type="default"/>
      <w:pgSz w:w="11906" w:h="16838"/>
      <w:pgMar w:top="2098" w:right="1531" w:bottom="1814" w:left="1531" w:header="851" w:footer="1587" w:gutter="0"/>
      <w:pgNumType w:fmt="decimal"/>
      <w:cols w:space="0" w:num="1"/>
      <w:rtlGutter w:val="0"/>
      <w:docGrid w:type="linesAndChars" w:linePitch="587"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公文小标宋">
    <w:altName w:val="宋体"/>
    <w:panose1 w:val="02000500000000000000"/>
    <w:charset w:val="86"/>
    <w:family w:val="auto"/>
    <w:pitch w:val="default"/>
    <w:sig w:usb0="00000000" w:usb1="00000000"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 w:name="KSOF439EEF50">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709DB7">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33020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88A037">
                          <w:pPr>
                            <w:pStyle w:val="7"/>
                            <w:keepNext w:val="0"/>
                            <w:keepLines w:val="0"/>
                            <w:pageBreakBefore w:val="0"/>
                            <w:widowControl w:val="0"/>
                            <w:kinsoku/>
                            <w:wordWrap/>
                            <w:overflowPunct/>
                            <w:topLinePunct w:val="0"/>
                            <w:bidi w:val="0"/>
                            <w:adjustRightInd/>
                            <w:snapToGrid w:val="0"/>
                            <w:ind w:left="320" w:leftChars="100" w:right="320" w:rightChars="100"/>
                            <w:textAlignment w:val="auto"/>
                            <w:rPr>
                              <w:rFonts w:hint="eastAsia" w:ascii="宋体" w:hAnsi="宋体" w:eastAsia="宋体" w:cs="宋体"/>
                              <w:sz w:val="28"/>
                              <w:szCs w:val="52"/>
                            </w:rPr>
                          </w:pPr>
                          <w:r>
                            <w:rPr>
                              <w:rFonts w:hint="eastAsia" w:ascii="宋体" w:hAnsi="宋体" w:eastAsia="宋体" w:cs="宋体"/>
                              <w:sz w:val="28"/>
                              <w:szCs w:val="52"/>
                            </w:rPr>
                            <w:t xml:space="preserve">— </w:t>
                          </w:r>
                          <w:r>
                            <w:rPr>
                              <w:rFonts w:hint="eastAsia" w:ascii="宋体" w:hAnsi="宋体" w:eastAsia="宋体" w:cs="宋体"/>
                              <w:sz w:val="28"/>
                              <w:szCs w:val="52"/>
                            </w:rPr>
                            <w:fldChar w:fldCharType="begin"/>
                          </w:r>
                          <w:r>
                            <w:rPr>
                              <w:rFonts w:hint="eastAsia" w:ascii="宋体" w:hAnsi="宋体" w:eastAsia="宋体" w:cs="宋体"/>
                              <w:sz w:val="28"/>
                              <w:szCs w:val="52"/>
                            </w:rPr>
                            <w:instrText xml:space="preserve"> PAGE  \* MERGEFORMAT </w:instrText>
                          </w:r>
                          <w:r>
                            <w:rPr>
                              <w:rFonts w:hint="eastAsia" w:ascii="宋体" w:hAnsi="宋体" w:eastAsia="宋体" w:cs="宋体"/>
                              <w:sz w:val="28"/>
                              <w:szCs w:val="52"/>
                            </w:rPr>
                            <w:fldChar w:fldCharType="separate"/>
                          </w:r>
                          <w:r>
                            <w:rPr>
                              <w:rFonts w:hint="eastAsia" w:ascii="宋体" w:hAnsi="宋体" w:eastAsia="宋体" w:cs="宋体"/>
                              <w:sz w:val="28"/>
                              <w:szCs w:val="52"/>
                            </w:rPr>
                            <w:t>1</w:t>
                          </w:r>
                          <w:r>
                            <w:rPr>
                              <w:rFonts w:hint="eastAsia" w:ascii="宋体" w:hAnsi="宋体" w:eastAsia="宋体" w:cs="宋体"/>
                              <w:sz w:val="28"/>
                              <w:szCs w:val="52"/>
                            </w:rPr>
                            <w:fldChar w:fldCharType="end"/>
                          </w:r>
                          <w:r>
                            <w:rPr>
                              <w:rFonts w:hint="eastAsia" w:ascii="宋体" w:hAnsi="宋体" w:eastAsia="宋体" w:cs="宋体"/>
                              <w:sz w:val="28"/>
                              <w:szCs w:val="5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6pt;height:144pt;width:144pt;mso-position-horizontal:outside;mso-position-horizontal-relative:margin;mso-wrap-style:none;z-index:251659264;mso-width-relative:page;mso-height-relative:page;" filled="f" stroked="f" coordsize="21600,21600" o:gfxdata="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o5NXB0wAAAAYBAAAPAAAAAAAAAAEAIAAAACIAAABkcnMvZG93bnJldi54bWxQSwEC&#10;FAAUAAAACACHTuJA9YuHZDICAABhBAAADgAAAAAAAAABACAAAAAiAQAAZHJzL2Uyb0RvYy54bWxQ&#10;SwUGAAAAAAYABgBZAQAAxgUAAAAA&#10;">
              <v:fill on="f" focussize="0,0"/>
              <v:stroke on="f" weight="0.5pt"/>
              <v:imagedata o:title=""/>
              <o:lock v:ext="edit" aspectratio="f"/>
              <v:textbox inset="0mm,0mm,0mm,0mm" style="mso-fit-shape-to-text:t;">
                <w:txbxContent>
                  <w:p w14:paraId="6B88A037">
                    <w:pPr>
                      <w:pStyle w:val="7"/>
                      <w:keepNext w:val="0"/>
                      <w:keepLines w:val="0"/>
                      <w:pageBreakBefore w:val="0"/>
                      <w:widowControl w:val="0"/>
                      <w:kinsoku/>
                      <w:wordWrap/>
                      <w:overflowPunct/>
                      <w:topLinePunct w:val="0"/>
                      <w:bidi w:val="0"/>
                      <w:adjustRightInd/>
                      <w:snapToGrid w:val="0"/>
                      <w:ind w:left="320" w:leftChars="100" w:right="320" w:rightChars="100"/>
                      <w:textAlignment w:val="auto"/>
                      <w:rPr>
                        <w:rFonts w:hint="eastAsia" w:ascii="宋体" w:hAnsi="宋体" w:eastAsia="宋体" w:cs="宋体"/>
                        <w:sz w:val="28"/>
                        <w:szCs w:val="52"/>
                      </w:rPr>
                    </w:pPr>
                    <w:r>
                      <w:rPr>
                        <w:rFonts w:hint="eastAsia" w:ascii="宋体" w:hAnsi="宋体" w:eastAsia="宋体" w:cs="宋体"/>
                        <w:sz w:val="28"/>
                        <w:szCs w:val="52"/>
                      </w:rPr>
                      <w:t xml:space="preserve">— </w:t>
                    </w:r>
                    <w:r>
                      <w:rPr>
                        <w:rFonts w:hint="eastAsia" w:ascii="宋体" w:hAnsi="宋体" w:eastAsia="宋体" w:cs="宋体"/>
                        <w:sz w:val="28"/>
                        <w:szCs w:val="52"/>
                      </w:rPr>
                      <w:fldChar w:fldCharType="begin"/>
                    </w:r>
                    <w:r>
                      <w:rPr>
                        <w:rFonts w:hint="eastAsia" w:ascii="宋体" w:hAnsi="宋体" w:eastAsia="宋体" w:cs="宋体"/>
                        <w:sz w:val="28"/>
                        <w:szCs w:val="52"/>
                      </w:rPr>
                      <w:instrText xml:space="preserve"> PAGE  \* MERGEFORMAT </w:instrText>
                    </w:r>
                    <w:r>
                      <w:rPr>
                        <w:rFonts w:hint="eastAsia" w:ascii="宋体" w:hAnsi="宋体" w:eastAsia="宋体" w:cs="宋体"/>
                        <w:sz w:val="28"/>
                        <w:szCs w:val="52"/>
                      </w:rPr>
                      <w:fldChar w:fldCharType="separate"/>
                    </w:r>
                    <w:r>
                      <w:rPr>
                        <w:rFonts w:hint="eastAsia" w:ascii="宋体" w:hAnsi="宋体" w:eastAsia="宋体" w:cs="宋体"/>
                        <w:sz w:val="28"/>
                        <w:szCs w:val="52"/>
                      </w:rPr>
                      <w:t>1</w:t>
                    </w:r>
                    <w:r>
                      <w:rPr>
                        <w:rFonts w:hint="eastAsia" w:ascii="宋体" w:hAnsi="宋体" w:eastAsia="宋体" w:cs="宋体"/>
                        <w:sz w:val="28"/>
                        <w:szCs w:val="52"/>
                      </w:rPr>
                      <w:fldChar w:fldCharType="end"/>
                    </w:r>
                    <w:r>
                      <w:rPr>
                        <w:rFonts w:hint="eastAsia" w:ascii="宋体" w:hAnsi="宋体" w:eastAsia="宋体" w:cs="宋体"/>
                        <w:sz w:val="28"/>
                        <w:szCs w:val="52"/>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9145FC">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58"/>
  <w:drawingGridVerticalSpacing w:val="294"/>
  <w:displayHorizontalDrawingGridEvery w:val="2"/>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DD2460"/>
    <w:rsid w:val="008A663A"/>
    <w:rsid w:val="043015B3"/>
    <w:rsid w:val="047D5273"/>
    <w:rsid w:val="054E7B8D"/>
    <w:rsid w:val="06D01FD2"/>
    <w:rsid w:val="0ADD2460"/>
    <w:rsid w:val="0AFA5870"/>
    <w:rsid w:val="0B77F3E3"/>
    <w:rsid w:val="0CEA5470"/>
    <w:rsid w:val="0EF766AC"/>
    <w:rsid w:val="0F112046"/>
    <w:rsid w:val="12573567"/>
    <w:rsid w:val="13165211"/>
    <w:rsid w:val="1C275D99"/>
    <w:rsid w:val="1D74500E"/>
    <w:rsid w:val="1ED146E2"/>
    <w:rsid w:val="1F29F03A"/>
    <w:rsid w:val="209930A7"/>
    <w:rsid w:val="21E8421C"/>
    <w:rsid w:val="275F6D2E"/>
    <w:rsid w:val="2B3E6C5B"/>
    <w:rsid w:val="2B5AF677"/>
    <w:rsid w:val="2DB2C976"/>
    <w:rsid w:val="3B8763FC"/>
    <w:rsid w:val="3B8E778B"/>
    <w:rsid w:val="3DBBF9FF"/>
    <w:rsid w:val="3E2D328B"/>
    <w:rsid w:val="3E57AEAF"/>
    <w:rsid w:val="3F4E170B"/>
    <w:rsid w:val="40104C12"/>
    <w:rsid w:val="431766F5"/>
    <w:rsid w:val="46FA5CA9"/>
    <w:rsid w:val="4BCD39B7"/>
    <w:rsid w:val="4BE57E87"/>
    <w:rsid w:val="4C4117FB"/>
    <w:rsid w:val="4D704F42"/>
    <w:rsid w:val="4E3E2E36"/>
    <w:rsid w:val="50874A7C"/>
    <w:rsid w:val="5B3C2AD3"/>
    <w:rsid w:val="5E0D40E7"/>
    <w:rsid w:val="5EF7417E"/>
    <w:rsid w:val="5F6C2B44"/>
    <w:rsid w:val="5FCFEBF2"/>
    <w:rsid w:val="643F440E"/>
    <w:rsid w:val="648D85F0"/>
    <w:rsid w:val="65E3370A"/>
    <w:rsid w:val="67BFE363"/>
    <w:rsid w:val="6837F093"/>
    <w:rsid w:val="6A6B0B13"/>
    <w:rsid w:val="6BCF0471"/>
    <w:rsid w:val="6C103720"/>
    <w:rsid w:val="6C5C0714"/>
    <w:rsid w:val="6DC86A6F"/>
    <w:rsid w:val="6DF7895C"/>
    <w:rsid w:val="6E3D9CD0"/>
    <w:rsid w:val="6FEB0005"/>
    <w:rsid w:val="729020CC"/>
    <w:rsid w:val="75AF350D"/>
    <w:rsid w:val="75FEE2B9"/>
    <w:rsid w:val="76EBE119"/>
    <w:rsid w:val="77FF8F63"/>
    <w:rsid w:val="7A7FEDC2"/>
    <w:rsid w:val="7AAA4D40"/>
    <w:rsid w:val="7BF9475A"/>
    <w:rsid w:val="7C286864"/>
    <w:rsid w:val="7CAC1243"/>
    <w:rsid w:val="7CB7EAA1"/>
    <w:rsid w:val="7CEFC890"/>
    <w:rsid w:val="7D6F34E4"/>
    <w:rsid w:val="7EB42631"/>
    <w:rsid w:val="7EEA5D76"/>
    <w:rsid w:val="7FF9552D"/>
    <w:rsid w:val="AFDCC875"/>
    <w:rsid w:val="BD5F7427"/>
    <w:rsid w:val="BFBD66C5"/>
    <w:rsid w:val="CFBE2C4C"/>
    <w:rsid w:val="CFFAF3F8"/>
    <w:rsid w:val="DFF4C207"/>
    <w:rsid w:val="E7F1C520"/>
    <w:rsid w:val="EAAF10CC"/>
    <w:rsid w:val="EDAF84AF"/>
    <w:rsid w:val="EF7F3A33"/>
    <w:rsid w:val="F24EF134"/>
    <w:rsid w:val="F63721EE"/>
    <w:rsid w:val="F7BF3F83"/>
    <w:rsid w:val="FB6F9A44"/>
    <w:rsid w:val="FBBD2654"/>
    <w:rsid w:val="FBBE1039"/>
    <w:rsid w:val="FBDF9C1F"/>
    <w:rsid w:val="FDDFAD75"/>
    <w:rsid w:val="FEFFF837"/>
    <w:rsid w:val="FF5F52B0"/>
    <w:rsid w:val="FF7F2327"/>
    <w:rsid w:val="FFEE5941"/>
    <w:rsid w:val="FFF33D9C"/>
    <w:rsid w:val="FFFE09E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Ascii" w:hAnsiTheme="minorAscii" w:eastAsiaTheme="minorEastAsia" w:cstheme="minorBidi"/>
      <w:kern w:val="2"/>
      <w:sz w:val="32"/>
      <w:szCs w:val="32"/>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ind w:left="100" w:leftChars="100" w:right="100" w:rightChars="100"/>
    </w:pPr>
  </w:style>
  <w:style w:type="paragraph" w:styleId="3">
    <w:name w:val="Body Text First Indent 2"/>
    <w:basedOn w:val="4"/>
    <w:next w:val="5"/>
    <w:qFormat/>
    <w:uiPriority w:val="0"/>
    <w:pPr>
      <w:ind w:firstLine="420"/>
    </w:pPr>
  </w:style>
  <w:style w:type="paragraph" w:styleId="4">
    <w:name w:val="Body Text Indent"/>
    <w:basedOn w:val="1"/>
    <w:qFormat/>
    <w:uiPriority w:val="0"/>
    <w:pPr>
      <w:spacing w:after="120"/>
      <w:ind w:left="420" w:leftChars="200"/>
    </w:pPr>
  </w:style>
  <w:style w:type="paragraph" w:customStyle="1" w:styleId="5">
    <w:name w:val="Default"/>
    <w:qFormat/>
    <w:uiPriority w:val="0"/>
    <w:pPr>
      <w:widowControl w:val="0"/>
      <w:autoSpaceDE w:val="0"/>
      <w:autoSpaceDN w:val="0"/>
      <w:adjustRightInd w:val="0"/>
    </w:pPr>
    <w:rPr>
      <w:rFonts w:ascii="黑体" w:hAnsi="Calibri" w:eastAsia="黑体" w:cs="黑体"/>
      <w:color w:val="000000"/>
      <w:sz w:val="32"/>
      <w:szCs w:val="24"/>
      <w:lang w:val="en-US" w:eastAsia="zh-CN" w:bidi="ar-SA"/>
    </w:rPr>
  </w:style>
  <w:style w:type="paragraph" w:styleId="6">
    <w:name w:val="Normal Indent"/>
    <w:basedOn w:val="1"/>
    <w:qFormat/>
    <w:uiPriority w:val="0"/>
    <w:pPr>
      <w:keepNext w:val="0"/>
      <w:keepLines w:val="0"/>
      <w:widowControl w:val="0"/>
      <w:suppressLineNumbers w:val="0"/>
      <w:spacing w:before="0" w:beforeAutospacing="0" w:after="0" w:afterAutospacing="0"/>
      <w:ind w:left="0" w:right="0" w:firstLine="567"/>
      <w:jc w:val="both"/>
    </w:pPr>
    <w:rPr>
      <w:rFonts w:hint="default" w:ascii="Calibri" w:hAnsi="Calibri" w:eastAsia="宋体" w:cs="Times New Roman"/>
      <w:kern w:val="2"/>
      <w:sz w:val="21"/>
      <w:szCs w:val="21"/>
      <w:lang w:val="en-US" w:eastAsia="zh-CN" w:bidi="ar"/>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Pages>
  <Words>2282</Words>
  <Characters>2296</Characters>
  <Lines>1</Lines>
  <Paragraphs>1</Paragraphs>
  <TotalTime>0</TotalTime>
  <ScaleCrop>false</ScaleCrop>
  <LinksUpToDate>false</LinksUpToDate>
  <CharactersWithSpaces>2296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2025-07-27T14:56:00Z</dcterms:created>
  <dc:creator>云天</dc:creator>
  <cp:lastModifiedBy>季节</cp:lastModifiedBy>
  <cp:lastPrinted>2026-01-11T08:06:00Z</cp:lastPrinted>
  <dcterms:modified xsi:type="dcterms:W3CDTF">2026-04-09T07:11:37Z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5876474B96C90778935C606983BCB669_43</vt:lpwstr>
  </property>
  <property fmtid="{D5CDD505-2E9C-101B-9397-08002B2CF9AE}" pid="4" name="KSOTemplateDocerSaveRecord">
    <vt:lpwstr>eyJoZGlkIjoiNWM2NWQ4Yzc2ODRmMjkxNjA5MzQ4NTVjMjAzNDYwMTQiLCJ1c2VySWQiOiI0MTQwNjcxMDIifQ==</vt:lpwstr>
  </property>
</Properties>
</file>