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240" w:lineRule="auto"/>
        <w:rPr>
          <w:rFonts w:hint="eastAsia" w:ascii="方正仿宋_GBK" w:hAnsi="方正仿宋_GBK" w:cs="方正仿宋_GBK"/>
          <w:bCs/>
          <w:color w:val="auto"/>
        </w:rPr>
      </w:pPr>
      <w:bookmarkStart w:id="0" w:name="_GoBack"/>
      <w:bookmarkEnd w:id="0"/>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pPr>
              <w:adjustRightInd/>
              <w:spacing w:line="580" w:lineRule="exact"/>
              <w:jc w:val="distribute"/>
              <w:rPr>
                <w:rFonts w:hint="eastAsia" w:ascii="方正小标宋_GBK" w:hAnsi="方正小标宋_GBK" w:eastAsia="方正小标宋_GBK" w:cs="方正小标宋_GBK"/>
                <w:bCs/>
                <w:color w:val="auto"/>
                <w:sz w:val="44"/>
                <w:szCs w:val="44"/>
                <w:vertAlign w:val="baseline"/>
              </w:rPr>
            </w:pPr>
            <w:r>
              <w:rPr>
                <w:rFonts w:hint="eastAsia" w:ascii="方正小标宋_GBK" w:hAnsi="方正小标宋_GBK" w:eastAsia="方正小标宋_GBK" w:cs="方正小标宋_GBK"/>
                <w:kern w:val="2"/>
                <w:sz w:val="44"/>
                <w:szCs w:val="44"/>
              </w:rPr>
              <w:t>重庆市发展和改革委员会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pPr>
              <w:adjustRightInd/>
              <w:spacing w:line="580" w:lineRule="exact"/>
              <w:jc w:val="distribute"/>
              <w:rPr>
                <w:rFonts w:hint="eastAsia" w:ascii="方正小标宋_GBK" w:hAnsi="方正小标宋_GBK" w:eastAsia="方正小标宋_GBK" w:cs="方正小标宋_GBK"/>
                <w:bCs/>
                <w:color w:val="auto"/>
                <w:sz w:val="44"/>
                <w:szCs w:val="44"/>
                <w:vertAlign w:val="baseline"/>
              </w:rPr>
            </w:pPr>
            <w:r>
              <w:rPr>
                <w:rFonts w:hint="eastAsia" w:ascii="方正小标宋_GBK" w:hAnsi="方正小标宋_GBK" w:eastAsia="方正小标宋_GBK" w:cs="方正小标宋_GBK"/>
                <w:kern w:val="2"/>
                <w:sz w:val="44"/>
                <w:szCs w:val="44"/>
              </w:rPr>
              <w:t>重庆市公安局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pPr>
              <w:adjustRightInd/>
              <w:spacing w:line="580" w:lineRule="exact"/>
              <w:jc w:val="distribute"/>
              <w:rPr>
                <w:rFonts w:hint="eastAsia" w:ascii="方正小标宋_GBK" w:hAnsi="方正小标宋_GBK" w:eastAsia="方正小标宋_GBK" w:cs="方正小标宋_GBK"/>
                <w:bCs/>
                <w:color w:val="auto"/>
                <w:sz w:val="44"/>
                <w:szCs w:val="44"/>
                <w:vertAlign w:val="baseline"/>
              </w:rPr>
            </w:pPr>
            <w:r>
              <w:rPr>
                <w:rFonts w:hint="eastAsia" w:ascii="方正小标宋_GBK" w:hAnsi="方正小标宋_GBK" w:eastAsia="方正小标宋_GBK" w:cs="方正小标宋_GBK"/>
                <w:kern w:val="2"/>
                <w:sz w:val="44"/>
                <w:szCs w:val="44"/>
              </w:rPr>
              <w:t>重庆市住房和城乡建设委员会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pPr>
              <w:adjustRightInd/>
              <w:spacing w:line="580" w:lineRule="exact"/>
              <w:jc w:val="distribute"/>
              <w:rPr>
                <w:rFonts w:hint="eastAsia" w:ascii="方正小标宋_GBK" w:hAnsi="方正小标宋_GBK" w:eastAsia="方正小标宋_GBK" w:cs="方正小标宋_GBK"/>
                <w:bCs/>
                <w:color w:val="auto"/>
                <w:sz w:val="44"/>
                <w:szCs w:val="44"/>
                <w:vertAlign w:val="baseline"/>
              </w:rPr>
            </w:pPr>
            <w:r>
              <w:rPr>
                <w:rFonts w:hint="eastAsia" w:ascii="方正小标宋_GBK" w:hAnsi="方正小标宋_GBK" w:eastAsia="方正小标宋_GBK" w:cs="方正小标宋_GBK"/>
                <w:kern w:val="2"/>
                <w:sz w:val="44"/>
                <w:szCs w:val="44"/>
              </w:rPr>
              <w:t>重庆市城市管理局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pPr>
              <w:adjustRightInd/>
              <w:spacing w:line="580" w:lineRule="exact"/>
              <w:jc w:val="distribute"/>
              <w:rPr>
                <w:rFonts w:hint="eastAsia" w:ascii="方正小标宋_GBK" w:hAnsi="方正小标宋_GBK" w:eastAsia="方正小标宋_GBK" w:cs="方正小标宋_GBK"/>
                <w:bCs/>
                <w:color w:val="auto"/>
                <w:sz w:val="44"/>
                <w:szCs w:val="44"/>
                <w:vertAlign w:val="baseline"/>
              </w:rPr>
            </w:pPr>
            <w:r>
              <w:rPr>
                <w:rFonts w:hint="eastAsia" w:ascii="方正小标宋_GBK" w:hAnsi="方正小标宋_GBK" w:eastAsia="方正小标宋_GBK" w:cs="方正小标宋_GBK"/>
                <w:kern w:val="2"/>
                <w:sz w:val="44"/>
                <w:szCs w:val="44"/>
              </w:rPr>
              <w:t>重庆市商务委员会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pPr>
              <w:adjustRightInd/>
              <w:spacing w:line="580" w:lineRule="exact"/>
              <w:jc w:val="distribute"/>
              <w:rPr>
                <w:rFonts w:hint="eastAsia" w:ascii="方正小标宋_GBK" w:hAnsi="方正小标宋_GBK" w:eastAsia="方正小标宋_GBK" w:cs="方正小标宋_GBK"/>
                <w:bCs/>
                <w:color w:val="auto"/>
                <w:sz w:val="44"/>
                <w:szCs w:val="44"/>
                <w:vertAlign w:val="baseline"/>
              </w:rPr>
            </w:pPr>
            <w:r>
              <w:rPr>
                <w:rFonts w:hint="eastAsia" w:ascii="方正小标宋_GBK" w:hAnsi="方正小标宋_GBK" w:eastAsia="方正小标宋_GBK" w:cs="方正小标宋_GBK"/>
                <w:kern w:val="2"/>
                <w:sz w:val="44"/>
                <w:szCs w:val="44"/>
              </w:rPr>
              <w:t>重庆市文化和旅游发展委员会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pPr>
              <w:adjustRightInd/>
              <w:spacing w:line="580" w:lineRule="exact"/>
              <w:jc w:val="distribute"/>
              <w:rPr>
                <w:rFonts w:hint="eastAsia" w:ascii="方正小标宋_GBK" w:hAnsi="方正小标宋_GBK" w:eastAsia="方正小标宋_GBK" w:cs="方正小标宋_GBK"/>
                <w:bCs/>
                <w:color w:val="auto"/>
                <w:sz w:val="44"/>
                <w:szCs w:val="44"/>
                <w:vertAlign w:val="baseline"/>
              </w:rPr>
            </w:pPr>
            <w:r>
              <w:rPr>
                <w:rFonts w:hint="eastAsia" w:ascii="方正小标宋_GBK" w:hAnsi="方正小标宋_GBK" w:eastAsia="方正小标宋_GBK" w:cs="方正小标宋_GBK"/>
                <w:kern w:val="2"/>
                <w:sz w:val="44"/>
                <w:szCs w:val="44"/>
              </w:rPr>
              <w:t>重庆市市场</w:t>
            </w:r>
            <w:r>
              <w:rPr>
                <w:rFonts w:hint="eastAsia" w:ascii="方正小标宋_GBK" w:hAnsi="方正小标宋_GBK" w:eastAsia="方正小标宋_GBK" w:cs="方正小标宋_GBK"/>
                <w:kern w:val="2"/>
                <w:sz w:val="44"/>
                <w:szCs w:val="44"/>
                <w:lang w:eastAsia="zh-CN"/>
              </w:rPr>
              <w:t>监督管理</w:t>
            </w:r>
            <w:r>
              <w:rPr>
                <w:rFonts w:hint="eastAsia" w:ascii="方正小标宋_GBK" w:hAnsi="方正小标宋_GBK" w:eastAsia="方正小标宋_GBK" w:cs="方正小标宋_GBK"/>
                <w:kern w:val="2"/>
                <w:sz w:val="44"/>
                <w:szCs w:val="44"/>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pPr>
              <w:adjustRightInd/>
              <w:spacing w:line="580" w:lineRule="exact"/>
              <w:jc w:val="distribute"/>
              <w:rPr>
                <w:rFonts w:hint="eastAsia" w:ascii="方正小标宋_GBK" w:hAnsi="方正小标宋_GBK" w:eastAsia="方正小标宋_GBK" w:cs="方正小标宋_GBK"/>
                <w:bCs/>
                <w:color w:val="auto"/>
                <w:sz w:val="44"/>
                <w:szCs w:val="44"/>
                <w:vertAlign w:val="baseline"/>
              </w:rPr>
            </w:pPr>
            <w:r>
              <w:rPr>
                <w:rFonts w:hint="eastAsia" w:ascii="方正小标宋_GBK" w:hAnsi="方正小标宋_GBK" w:eastAsia="方正小标宋_GBK" w:cs="方正小标宋_GBK"/>
                <w:kern w:val="2"/>
                <w:sz w:val="44"/>
                <w:szCs w:val="44"/>
              </w:rPr>
              <w:t>重庆市体育局</w:t>
            </w:r>
          </w:p>
        </w:tc>
      </w:tr>
    </w:tbl>
    <w:p>
      <w:pPr>
        <w:keepNext w:val="0"/>
        <w:keepLines w:val="0"/>
        <w:pageBreakBefore w:val="0"/>
        <w:kinsoku/>
        <w:wordWrap/>
        <w:overflowPunct w:val="0"/>
        <w:topLinePunct w:val="0"/>
        <w:autoSpaceDE/>
        <w:autoSpaceDN/>
        <w:bidi w:val="0"/>
        <w:adjustRightInd/>
        <w:snapToGrid/>
        <w:spacing w:before="0" w:beforeLines="0" w:after="0" w:afterLines="0" w:line="580" w:lineRule="exact"/>
        <w:ind w:left="0" w:leftChars="0" w:right="0" w:rightChars="0"/>
        <w:jc w:val="center"/>
        <w:textAlignment w:val="auto"/>
        <w:outlineLvl w:val="9"/>
        <w:rPr>
          <w:rFonts w:hint="eastAsia" w:ascii="Times New Roman" w:hAnsi="Times New Roman" w:eastAsia="方正小标宋_GBK" w:cs="方正小标宋_GBK"/>
          <w:color w:val="000000"/>
          <w:kern w:val="2"/>
          <w:sz w:val="44"/>
          <w:szCs w:val="44"/>
          <w:lang w:bidi="ar"/>
        </w:rPr>
      </w:pPr>
      <w:r>
        <w:rPr>
          <w:rFonts w:hint="eastAsia" w:eastAsia="方正小标宋_GBK" w:cs="黑体"/>
          <w:sz w:val="44"/>
          <w:szCs w:val="44"/>
        </w:rPr>
        <w:t>关于印发《</w:t>
      </w:r>
      <w:r>
        <w:rPr>
          <w:rFonts w:hint="eastAsia" w:ascii="Times New Roman" w:hAnsi="Times New Roman" w:eastAsia="方正小标宋_GBK" w:cs="方正小标宋_GBK"/>
          <w:color w:val="000000"/>
          <w:kern w:val="2"/>
          <w:sz w:val="44"/>
          <w:szCs w:val="44"/>
          <w:lang w:bidi="ar"/>
        </w:rPr>
        <w:t>进一步清理消费领域限制性举措</w:t>
      </w:r>
    </w:p>
    <w:p>
      <w:pPr>
        <w:overflowPunct w:val="0"/>
        <w:adjustRightInd/>
        <w:spacing w:beforeLines="0" w:after="0" w:afterLines="0" w:line="580" w:lineRule="exact"/>
        <w:jc w:val="center"/>
        <w:textAlignment w:val="auto"/>
        <w:rPr>
          <w:rFonts w:hint="default" w:ascii="方正仿宋_GBK" w:hAnsi="方正仿宋_GBK" w:cs="方正仿宋_GBK"/>
          <w:bCs/>
          <w:color w:val="auto"/>
          <w:sz w:val="44"/>
          <w:szCs w:val="44"/>
          <w:lang w:val="en-US" w:eastAsia="zh-CN"/>
        </w:rPr>
      </w:pPr>
      <w:r>
        <w:rPr>
          <w:rFonts w:hint="eastAsia" w:ascii="Times New Roman" w:hAnsi="Times New Roman" w:eastAsia="方正小标宋_GBK" w:cs="方正小标宋_GBK"/>
          <w:color w:val="000000"/>
          <w:kern w:val="2"/>
          <w:sz w:val="44"/>
          <w:szCs w:val="44"/>
          <w:lang w:bidi="ar"/>
        </w:rPr>
        <w:t>持续扩大消费若干措施</w:t>
      </w:r>
      <w:r>
        <w:rPr>
          <w:rFonts w:hint="eastAsia" w:eastAsia="方正小标宋_GBK" w:cs="黑体"/>
          <w:sz w:val="44"/>
          <w:szCs w:val="44"/>
        </w:rPr>
        <w:t>》的通知</w:t>
      </w:r>
    </w:p>
    <w:p>
      <w:pPr>
        <w:overflowPunct w:val="0"/>
        <w:adjustRightInd/>
        <w:spacing w:after="0" w:line="240" w:lineRule="auto"/>
        <w:jc w:val="center"/>
        <w:textAlignment w:val="auto"/>
        <w:rPr>
          <w:rFonts w:hint="eastAsia"/>
          <w:kern w:val="2"/>
          <w:lang w:val="en-US" w:eastAsia="zh-CN"/>
        </w:rPr>
      </w:pPr>
      <w:r>
        <w:rPr>
          <w:rFonts w:hint="eastAsia" w:eastAsia="方正仿宋_GBK" w:cs="方正仿宋_GBK"/>
          <w:kern w:val="2"/>
        </w:rPr>
        <w:t>渝发改规范〔2025〕7号</w:t>
      </w:r>
    </w:p>
    <w:p>
      <w:pPr>
        <w:overflowPunct w:val="0"/>
        <w:adjustRightInd/>
        <w:spacing w:after="0" w:line="240" w:lineRule="auto"/>
        <w:textAlignment w:val="auto"/>
        <w:rPr>
          <w:rFonts w:hint="eastAsia"/>
          <w:kern w:val="2"/>
          <w:lang w:val="en-US" w:eastAsia="zh-CN"/>
        </w:rPr>
      </w:pPr>
    </w:p>
    <w:p>
      <w:pPr>
        <w:keepNext w:val="0"/>
        <w:keepLines w:val="0"/>
        <w:pageBreakBefore w:val="0"/>
        <w:kinsoku/>
        <w:wordWrap/>
        <w:overflowPunct w:val="0"/>
        <w:topLinePunct w:val="0"/>
        <w:autoSpaceDE/>
        <w:autoSpaceDN/>
        <w:bidi w:val="0"/>
        <w:adjustRightInd/>
        <w:snapToGrid/>
        <w:spacing w:before="0" w:beforeLines="0" w:beforeAutospacing="0" w:after="0" w:afterLines="0" w:line="240" w:lineRule="auto"/>
        <w:ind w:left="0" w:leftChars="0" w:right="0" w:rightChars="0" w:firstLine="0" w:firstLineChars="0"/>
        <w:textAlignment w:val="auto"/>
        <w:outlineLvl w:val="9"/>
        <w:rPr>
          <w:rFonts w:hint="eastAsia" w:cs="方正仿宋_GBK"/>
          <w:kern w:val="2"/>
        </w:rPr>
      </w:pPr>
      <w:r>
        <w:rPr>
          <w:rFonts w:hint="eastAsia" w:cs="方正仿宋_GBK"/>
          <w:kern w:val="2"/>
        </w:rPr>
        <w:t>市政府各部门，有关单位：</w:t>
      </w:r>
    </w:p>
    <w:p>
      <w:pPr>
        <w:keepNext w:val="0"/>
        <w:keepLines w:val="0"/>
        <w:pageBreakBefore w:val="0"/>
        <w:kinsoku/>
        <w:wordWrap/>
        <w:overflowPunct w:val="0"/>
        <w:topLinePunct w:val="0"/>
        <w:autoSpaceDE/>
        <w:autoSpaceDN/>
        <w:bidi w:val="0"/>
        <w:adjustRightInd/>
        <w:snapToGrid/>
        <w:spacing w:before="0" w:beforeLines="0" w:beforeAutospacing="0" w:after="0" w:afterLines="0" w:line="240" w:lineRule="auto"/>
        <w:ind w:left="0" w:leftChars="0" w:right="0" w:rightChars="0" w:firstLine="632" w:firstLineChars="200"/>
        <w:textAlignment w:val="auto"/>
        <w:outlineLvl w:val="9"/>
        <w:rPr>
          <w:rFonts w:hint="eastAsia" w:eastAsia="方正仿宋_GBK" w:cs="方正仿宋_GBK"/>
          <w:kern w:val="2"/>
          <w:lang w:eastAsia="zh-CN"/>
        </w:rPr>
      </w:pPr>
      <w:r>
        <w:rPr>
          <w:rFonts w:hint="eastAsia" w:cs="方正仿宋_GBK"/>
          <w:kern w:val="2"/>
        </w:rPr>
        <w:t>《进一步清理消费领域限制性举措持续扩大消费若干措施》已经市政府同意，现印发给你们，请结合实际，认真抓好落实。</w:t>
      </w:r>
      <w:r>
        <w:rPr>
          <w:rFonts w:hint="eastAsia" w:cs="方正仿宋_GBK"/>
          <w:kern w:val="2"/>
          <w:lang w:eastAsia="zh-CN"/>
        </w:rPr>
        <w:t>本通知自印发之日起施行。</w:t>
      </w:r>
    </w:p>
    <w:p>
      <w:pPr>
        <w:keepNext w:val="0"/>
        <w:keepLines w:val="0"/>
        <w:pageBreakBefore w:val="0"/>
        <w:kinsoku/>
        <w:wordWrap/>
        <w:overflowPunct w:val="0"/>
        <w:topLinePunct w:val="0"/>
        <w:autoSpaceDE/>
        <w:autoSpaceDN/>
        <w:bidi w:val="0"/>
        <w:adjustRightInd/>
        <w:snapToGrid/>
        <w:spacing w:before="0" w:beforeLines="0" w:beforeAutospacing="0" w:after="0" w:afterLines="0" w:line="240" w:lineRule="auto"/>
        <w:ind w:left="0" w:leftChars="0" w:right="0" w:rightChars="0" w:firstLine="0" w:firstLineChars="0"/>
        <w:textAlignment w:val="auto"/>
        <w:outlineLvl w:val="9"/>
        <w:rPr>
          <w:rFonts w:hint="eastAsia" w:cs="方正仿宋_GBK"/>
          <w:kern w:val="2"/>
        </w:rPr>
      </w:pPr>
    </w:p>
    <w:p>
      <w:pPr>
        <w:overflowPunct w:val="0"/>
        <w:adjustRightInd/>
        <w:spacing w:before="0" w:beforeLines="0" w:after="0" w:afterLines="0" w:line="240" w:lineRule="auto"/>
        <w:textAlignment w:val="auto"/>
        <w:rPr>
          <w:rFonts w:hint="eastAsia" w:cs="方正仿宋_GBK"/>
          <w:kern w:val="2"/>
        </w:rPr>
      </w:pPr>
    </w:p>
    <w:p>
      <w:pPr>
        <w:keepNext w:val="0"/>
        <w:keepLines w:val="0"/>
        <w:pageBreakBefore w:val="0"/>
        <w:kinsoku/>
        <w:wordWrap/>
        <w:overflowPunct w:val="0"/>
        <w:topLinePunct w:val="0"/>
        <w:autoSpaceDE/>
        <w:autoSpaceDN/>
        <w:bidi w:val="0"/>
        <w:adjustRightInd/>
        <w:snapToGrid/>
        <w:spacing w:before="0" w:beforeLines="0" w:beforeAutospacing="0" w:after="0" w:afterLines="0" w:line="240" w:lineRule="auto"/>
        <w:ind w:left="0" w:leftChars="0" w:right="0" w:rightChars="0" w:firstLine="0" w:firstLineChars="0"/>
        <w:textAlignment w:val="auto"/>
        <w:outlineLvl w:val="9"/>
        <w:rPr>
          <w:rFonts w:hint="eastAsia" w:cs="方正仿宋_GBK"/>
          <w:kern w:val="2"/>
        </w:rPr>
      </w:pPr>
    </w:p>
    <w:p>
      <w:pPr>
        <w:keepNext w:val="0"/>
        <w:keepLines w:val="0"/>
        <w:pageBreakBefore w:val="0"/>
        <w:kinsoku/>
        <w:wordWrap/>
        <w:overflowPunct w:val="0"/>
        <w:topLinePunct w:val="0"/>
        <w:autoSpaceDE/>
        <w:autoSpaceDN/>
        <w:bidi w:val="0"/>
        <w:adjustRightInd/>
        <w:snapToGrid/>
        <w:spacing w:before="0" w:beforeLines="0" w:beforeAutospacing="0" w:after="0" w:afterLines="0" w:line="240" w:lineRule="auto"/>
        <w:ind w:right="0" w:rightChars="0" w:firstLine="316" w:firstLineChars="100"/>
        <w:textAlignment w:val="auto"/>
        <w:outlineLvl w:val="9"/>
        <w:rPr>
          <w:rFonts w:hint="eastAsia" w:cs="方正仿宋_GBK"/>
          <w:kern w:val="2"/>
        </w:rPr>
      </w:pPr>
      <w:r>
        <w:rPr>
          <w:rFonts w:hint="eastAsia" w:cs="方正仿宋_GBK"/>
          <w:kern w:val="2"/>
        </w:rPr>
        <w:t>重庆市发展和改革委员会            重庆</w:t>
      </w:r>
      <w:r>
        <w:rPr>
          <w:rFonts w:hint="eastAsia" w:ascii="Times New Roman" w:hAnsi="Times New Roman" w:cs="方正仿宋_GBK"/>
          <w:kern w:val="2"/>
        </w:rPr>
        <w:t>市公安局</w:t>
      </w:r>
    </w:p>
    <w:p>
      <w:pPr>
        <w:keepNext w:val="0"/>
        <w:keepLines w:val="0"/>
        <w:pageBreakBefore w:val="0"/>
        <w:kinsoku/>
        <w:wordWrap/>
        <w:overflowPunct w:val="0"/>
        <w:topLinePunct w:val="0"/>
        <w:autoSpaceDE/>
        <w:autoSpaceDN/>
        <w:bidi w:val="0"/>
        <w:adjustRightInd/>
        <w:snapToGrid/>
        <w:spacing w:before="0" w:beforeLines="0" w:beforeAutospacing="0" w:after="0" w:afterLines="0" w:line="240" w:lineRule="auto"/>
        <w:ind w:right="0" w:rightChars="0" w:firstLine="0" w:firstLineChars="0"/>
        <w:textAlignment w:val="auto"/>
        <w:outlineLvl w:val="9"/>
        <w:rPr>
          <w:rFonts w:hint="eastAsia" w:cs="方正仿宋_GBK"/>
          <w:kern w:val="2"/>
        </w:rPr>
      </w:pPr>
    </w:p>
    <w:p>
      <w:pPr>
        <w:keepNext w:val="0"/>
        <w:keepLines w:val="0"/>
        <w:pageBreakBefore w:val="0"/>
        <w:kinsoku/>
        <w:wordWrap/>
        <w:overflowPunct w:val="0"/>
        <w:topLinePunct w:val="0"/>
        <w:autoSpaceDE/>
        <w:autoSpaceDN/>
        <w:bidi w:val="0"/>
        <w:adjustRightInd/>
        <w:snapToGrid/>
        <w:spacing w:before="0" w:beforeLines="0" w:beforeAutospacing="0" w:after="0" w:afterLines="0" w:line="240" w:lineRule="auto"/>
        <w:ind w:right="0" w:rightChars="0" w:firstLine="0" w:firstLineChars="0"/>
        <w:textAlignment w:val="auto"/>
        <w:outlineLvl w:val="9"/>
        <w:rPr>
          <w:rFonts w:hint="eastAsia" w:cs="方正仿宋_GBK"/>
          <w:kern w:val="2"/>
        </w:rPr>
      </w:pPr>
    </w:p>
    <w:p>
      <w:pPr>
        <w:keepNext w:val="0"/>
        <w:keepLines w:val="0"/>
        <w:pageBreakBefore w:val="0"/>
        <w:kinsoku/>
        <w:wordWrap/>
        <w:overflowPunct w:val="0"/>
        <w:topLinePunct w:val="0"/>
        <w:autoSpaceDE/>
        <w:autoSpaceDN/>
        <w:bidi w:val="0"/>
        <w:adjustRightInd/>
        <w:snapToGrid/>
        <w:spacing w:before="0" w:beforeLines="0" w:beforeAutospacing="0" w:after="0" w:afterLines="0" w:line="240" w:lineRule="auto"/>
        <w:ind w:right="0" w:rightChars="0" w:firstLine="0" w:firstLineChars="0"/>
        <w:textAlignment w:val="auto"/>
        <w:outlineLvl w:val="9"/>
        <w:rPr>
          <w:rFonts w:hint="eastAsia" w:cs="方正仿宋_GBK"/>
          <w:kern w:val="2"/>
        </w:rPr>
      </w:pPr>
    </w:p>
    <w:p>
      <w:pPr>
        <w:keepNext w:val="0"/>
        <w:keepLines w:val="0"/>
        <w:pageBreakBefore w:val="0"/>
        <w:kinsoku/>
        <w:wordWrap/>
        <w:overflowPunct w:val="0"/>
        <w:topLinePunct w:val="0"/>
        <w:autoSpaceDE/>
        <w:autoSpaceDN/>
        <w:bidi w:val="0"/>
        <w:adjustRightInd/>
        <w:snapToGrid/>
        <w:spacing w:before="0" w:beforeLines="0" w:beforeAutospacing="0" w:after="0" w:afterLines="0" w:line="240" w:lineRule="auto"/>
        <w:ind w:right="0" w:rightChars="0" w:firstLine="316" w:firstLineChars="100"/>
        <w:textAlignment w:val="auto"/>
        <w:outlineLvl w:val="9"/>
        <w:rPr>
          <w:rFonts w:hint="eastAsia" w:ascii="Times New Roman" w:hAnsi="Times New Roman" w:cs="方正仿宋_GBK"/>
          <w:kern w:val="2"/>
        </w:rPr>
      </w:pPr>
      <w:r>
        <w:rPr>
          <w:rFonts w:hint="eastAsia" w:cs="方正仿宋_GBK"/>
          <w:kern w:val="2"/>
        </w:rPr>
        <w:t xml:space="preserve">重庆市住房和城乡建设委员会     </w:t>
      </w:r>
      <w:r>
        <w:rPr>
          <w:rFonts w:hint="eastAsia" w:ascii="Times New Roman" w:hAnsi="Times New Roman" w:cs="方正仿宋_GBK"/>
          <w:kern w:val="2"/>
        </w:rPr>
        <w:t>重庆市城市管理局</w:t>
      </w:r>
    </w:p>
    <w:p>
      <w:pPr>
        <w:keepNext w:val="0"/>
        <w:keepLines w:val="0"/>
        <w:pageBreakBefore w:val="0"/>
        <w:kinsoku/>
        <w:wordWrap/>
        <w:overflowPunct w:val="0"/>
        <w:topLinePunct w:val="0"/>
        <w:autoSpaceDE/>
        <w:autoSpaceDN/>
        <w:bidi w:val="0"/>
        <w:adjustRightInd/>
        <w:snapToGrid/>
        <w:spacing w:before="0" w:beforeLines="0" w:beforeAutospacing="0" w:after="0" w:afterLines="0" w:line="240" w:lineRule="auto"/>
        <w:ind w:right="0" w:rightChars="0" w:firstLine="0" w:firstLineChars="0"/>
        <w:textAlignment w:val="auto"/>
        <w:outlineLvl w:val="9"/>
        <w:rPr>
          <w:rFonts w:hint="eastAsia" w:ascii="Times New Roman" w:hAnsi="Times New Roman" w:cs="方正仿宋_GBK"/>
          <w:kern w:val="2"/>
        </w:rPr>
      </w:pPr>
    </w:p>
    <w:p>
      <w:pPr>
        <w:keepNext w:val="0"/>
        <w:keepLines w:val="0"/>
        <w:pageBreakBefore w:val="0"/>
        <w:kinsoku/>
        <w:wordWrap/>
        <w:overflowPunct w:val="0"/>
        <w:topLinePunct w:val="0"/>
        <w:autoSpaceDE/>
        <w:autoSpaceDN/>
        <w:bidi w:val="0"/>
        <w:adjustRightInd/>
        <w:snapToGrid/>
        <w:spacing w:before="0" w:beforeLines="0" w:beforeAutospacing="0" w:after="0" w:afterLines="0" w:line="240" w:lineRule="auto"/>
        <w:ind w:right="0" w:rightChars="0" w:firstLine="0" w:firstLineChars="0"/>
        <w:textAlignment w:val="auto"/>
        <w:outlineLvl w:val="9"/>
        <w:rPr>
          <w:rFonts w:hint="eastAsia" w:cs="方正仿宋_GBK"/>
          <w:kern w:val="2"/>
        </w:rPr>
      </w:pPr>
    </w:p>
    <w:p>
      <w:pPr>
        <w:keepNext w:val="0"/>
        <w:keepLines w:val="0"/>
        <w:pageBreakBefore w:val="0"/>
        <w:kinsoku/>
        <w:wordWrap/>
        <w:overflowPunct w:val="0"/>
        <w:topLinePunct w:val="0"/>
        <w:autoSpaceDE/>
        <w:autoSpaceDN/>
        <w:bidi w:val="0"/>
        <w:adjustRightInd/>
        <w:snapToGrid/>
        <w:spacing w:before="0" w:beforeLines="0" w:beforeAutospacing="0" w:after="0" w:afterLines="0" w:line="240" w:lineRule="auto"/>
        <w:ind w:right="0" w:rightChars="0" w:firstLine="0" w:firstLineChars="0"/>
        <w:textAlignment w:val="auto"/>
        <w:outlineLvl w:val="9"/>
        <w:rPr>
          <w:rFonts w:hint="eastAsia" w:cs="方正仿宋_GBK"/>
          <w:kern w:val="2"/>
        </w:rPr>
      </w:pPr>
    </w:p>
    <w:p>
      <w:pPr>
        <w:keepNext w:val="0"/>
        <w:keepLines w:val="0"/>
        <w:pageBreakBefore w:val="0"/>
        <w:kinsoku/>
        <w:wordWrap/>
        <w:overflowPunct w:val="0"/>
        <w:topLinePunct w:val="0"/>
        <w:autoSpaceDE/>
        <w:autoSpaceDN/>
        <w:bidi w:val="0"/>
        <w:adjustRightInd/>
        <w:snapToGrid/>
        <w:spacing w:before="0" w:beforeLines="0" w:beforeAutospacing="0" w:after="0" w:afterLines="0" w:line="240" w:lineRule="auto"/>
        <w:ind w:right="0" w:rightChars="0" w:firstLine="632" w:firstLineChars="200"/>
        <w:textAlignment w:val="auto"/>
        <w:outlineLvl w:val="9"/>
        <w:rPr>
          <w:rFonts w:hint="eastAsia" w:cs="方正仿宋_GBK"/>
          <w:kern w:val="2"/>
        </w:rPr>
      </w:pPr>
      <w:r>
        <w:rPr>
          <w:rFonts w:hint="eastAsia" w:cs="方正仿宋_GBK"/>
          <w:kern w:val="2"/>
        </w:rPr>
        <w:t>重庆市商务委员会        重庆市文化和旅游发展委员会</w:t>
      </w:r>
    </w:p>
    <w:p>
      <w:pPr>
        <w:keepNext w:val="0"/>
        <w:keepLines w:val="0"/>
        <w:pageBreakBefore w:val="0"/>
        <w:kinsoku/>
        <w:wordWrap/>
        <w:overflowPunct w:val="0"/>
        <w:topLinePunct w:val="0"/>
        <w:autoSpaceDE/>
        <w:autoSpaceDN/>
        <w:bidi w:val="0"/>
        <w:adjustRightInd/>
        <w:snapToGrid/>
        <w:spacing w:before="0" w:beforeLines="0" w:beforeAutospacing="0" w:after="0" w:afterLines="0" w:line="240" w:lineRule="auto"/>
        <w:ind w:right="0" w:rightChars="0" w:firstLine="0" w:firstLineChars="0"/>
        <w:textAlignment w:val="auto"/>
        <w:outlineLvl w:val="9"/>
        <w:rPr>
          <w:rFonts w:hint="eastAsia" w:cs="方正仿宋_GBK"/>
          <w:kern w:val="2"/>
        </w:rPr>
      </w:pPr>
    </w:p>
    <w:p>
      <w:pPr>
        <w:keepNext w:val="0"/>
        <w:keepLines w:val="0"/>
        <w:pageBreakBefore w:val="0"/>
        <w:kinsoku/>
        <w:wordWrap/>
        <w:overflowPunct w:val="0"/>
        <w:topLinePunct w:val="0"/>
        <w:autoSpaceDE/>
        <w:autoSpaceDN/>
        <w:bidi w:val="0"/>
        <w:adjustRightInd/>
        <w:snapToGrid/>
        <w:spacing w:before="0" w:beforeLines="0" w:beforeAutospacing="0" w:after="0" w:afterLines="0" w:line="240" w:lineRule="auto"/>
        <w:ind w:right="0" w:rightChars="0" w:firstLine="0" w:firstLineChars="0"/>
        <w:textAlignment w:val="auto"/>
        <w:outlineLvl w:val="9"/>
        <w:rPr>
          <w:rFonts w:hint="eastAsia" w:cs="方正仿宋_GBK"/>
          <w:kern w:val="2"/>
        </w:rPr>
      </w:pPr>
    </w:p>
    <w:p>
      <w:pPr>
        <w:keepNext w:val="0"/>
        <w:keepLines w:val="0"/>
        <w:pageBreakBefore w:val="0"/>
        <w:kinsoku/>
        <w:wordWrap/>
        <w:overflowPunct w:val="0"/>
        <w:topLinePunct w:val="0"/>
        <w:autoSpaceDE/>
        <w:autoSpaceDN/>
        <w:bidi w:val="0"/>
        <w:adjustRightInd/>
        <w:snapToGrid/>
        <w:spacing w:before="0" w:beforeLines="0" w:beforeAutospacing="0" w:after="0" w:afterLines="0" w:line="240" w:lineRule="auto"/>
        <w:ind w:right="0" w:rightChars="0" w:firstLine="0" w:firstLineChars="0"/>
        <w:textAlignment w:val="auto"/>
        <w:outlineLvl w:val="9"/>
        <w:rPr>
          <w:rFonts w:hint="eastAsia" w:cs="方正仿宋_GBK"/>
          <w:kern w:val="2"/>
        </w:rPr>
      </w:pPr>
    </w:p>
    <w:p>
      <w:pPr>
        <w:keepNext w:val="0"/>
        <w:keepLines w:val="0"/>
        <w:pageBreakBefore w:val="0"/>
        <w:kinsoku/>
        <w:wordWrap/>
        <w:overflowPunct w:val="0"/>
        <w:topLinePunct w:val="0"/>
        <w:autoSpaceDE/>
        <w:autoSpaceDN/>
        <w:bidi w:val="0"/>
        <w:adjustRightInd/>
        <w:snapToGrid/>
        <w:spacing w:before="0" w:beforeLines="0" w:beforeAutospacing="0" w:after="0" w:afterLines="0" w:line="240" w:lineRule="auto"/>
        <w:ind w:right="0" w:rightChars="0" w:firstLine="632" w:firstLineChars="200"/>
        <w:textAlignment w:val="auto"/>
        <w:outlineLvl w:val="9"/>
        <w:rPr>
          <w:rFonts w:hint="eastAsia" w:cs="方正仿宋_GBK"/>
          <w:kern w:val="2"/>
        </w:rPr>
      </w:pPr>
      <w:r>
        <w:rPr>
          <w:rFonts w:hint="eastAsia" w:cs="方正仿宋_GBK"/>
          <w:kern w:val="2"/>
        </w:rPr>
        <w:t>重庆市市场</w:t>
      </w:r>
      <w:r>
        <w:rPr>
          <w:rFonts w:hint="eastAsia" w:cs="方正仿宋_GBK"/>
          <w:kern w:val="2"/>
          <w:lang w:eastAsia="zh-CN"/>
        </w:rPr>
        <w:t>监督管理</w:t>
      </w:r>
      <w:r>
        <w:rPr>
          <w:rFonts w:hint="eastAsia" w:cs="方正仿宋_GBK"/>
          <w:kern w:val="2"/>
        </w:rPr>
        <w:t>局          重庆市体育局</w:t>
      </w:r>
    </w:p>
    <w:p>
      <w:pPr>
        <w:overflowPunct w:val="0"/>
        <w:adjustRightInd/>
        <w:spacing w:after="0" w:line="240" w:lineRule="auto"/>
        <w:textAlignment w:val="auto"/>
        <w:rPr>
          <w:rFonts w:hint="eastAsia"/>
          <w:kern w:val="2"/>
          <w:lang w:val="en-US" w:eastAsia="zh-CN"/>
        </w:rPr>
      </w:pPr>
      <w:r>
        <w:rPr>
          <w:rFonts w:hint="eastAsia" w:cs="方正仿宋_GBK"/>
          <w:kern w:val="2"/>
        </w:rPr>
        <w:t xml:space="preserve">                                 2025年11月</w:t>
      </w:r>
      <w:r>
        <w:rPr>
          <w:rFonts w:hint="eastAsia" w:cs="方正仿宋_GBK"/>
          <w:kern w:val="2"/>
          <w:lang w:val="en-US" w:eastAsia="zh-CN"/>
        </w:rPr>
        <w:t>6</w:t>
      </w:r>
      <w:r>
        <w:rPr>
          <w:rFonts w:hint="eastAsia" w:cs="方正仿宋_GBK"/>
          <w:kern w:val="2"/>
        </w:rPr>
        <w:t xml:space="preserve">日        </w:t>
      </w:r>
    </w:p>
    <w:p>
      <w:pPr>
        <w:pStyle w:val="2"/>
        <w:overflowPunct w:val="0"/>
        <w:adjustRightInd/>
        <w:spacing w:after="0" w:line="240" w:lineRule="auto"/>
        <w:ind w:left="0" w:leftChars="0"/>
        <w:textAlignment w:val="auto"/>
        <w:rPr>
          <w:rFonts w:hint="eastAsia"/>
          <w:kern w:val="2"/>
          <w:sz w:val="32"/>
          <w:szCs w:val="32"/>
          <w:lang w:val="en-US" w:eastAsia="zh-CN"/>
        </w:rPr>
      </w:pPr>
    </w:p>
    <w:p>
      <w:pPr>
        <w:overflowPunct w:val="0"/>
        <w:adjustRightInd/>
        <w:spacing w:line="240" w:lineRule="auto"/>
        <w:textAlignment w:val="auto"/>
        <w:rPr>
          <w:rFonts w:hint="eastAsia"/>
          <w:lang w:val="en-US" w:eastAsia="zh-CN"/>
        </w:rPr>
        <w:sectPr>
          <w:headerReference r:id="rId5" w:type="default"/>
          <w:footerReference r:id="rId6" w:type="default"/>
          <w:pgSz w:w="11906" w:h="16838"/>
          <w:pgMar w:top="2098" w:right="1531" w:bottom="1984" w:left="1531" w:header="851" w:footer="1417" w:gutter="0"/>
          <w:pgNumType w:fmt="decimal"/>
          <w:cols w:space="0" w:num="1"/>
          <w:rtlGutter w:val="0"/>
          <w:docGrid w:type="linesAndChars" w:linePitch="579" w:charSpace="-849"/>
        </w:sectPr>
      </w:pPr>
    </w:p>
    <w:p>
      <w:pPr>
        <w:overflowPunct w:val="0"/>
        <w:adjustRightInd/>
        <w:spacing w:after="0" w:line="240" w:lineRule="auto"/>
        <w:textAlignment w:val="auto"/>
        <w:rPr>
          <w:rFonts w:hint="eastAsia"/>
          <w:kern w:val="2"/>
          <w:lang w:val="en-US" w:eastAsia="zh-CN"/>
        </w:rPr>
      </w:pPr>
    </w:p>
    <w:p>
      <w:pPr>
        <w:keepNext w:val="0"/>
        <w:keepLines w:val="0"/>
        <w:pageBreakBefore w:val="0"/>
        <w:kinsoku/>
        <w:wordWrap/>
        <w:overflowPunct w:val="0"/>
        <w:topLinePunct w:val="0"/>
        <w:autoSpaceDE/>
        <w:autoSpaceDN/>
        <w:bidi w:val="0"/>
        <w:adjustRightInd/>
        <w:snapToGrid/>
        <w:spacing w:before="0" w:beforeLines="0" w:after="0" w:afterLines="0" w:line="580" w:lineRule="exact"/>
        <w:jc w:val="center"/>
        <w:textAlignment w:val="auto"/>
        <w:outlineLvl w:val="9"/>
        <w:rPr>
          <w:rFonts w:hint="eastAsia" w:eastAsia="方正小标宋_GBK" w:cs="方正小标宋_GBK"/>
          <w:color w:val="000000"/>
          <w:kern w:val="2"/>
          <w:sz w:val="44"/>
          <w:szCs w:val="44"/>
          <w:lang w:bidi="ar"/>
        </w:rPr>
      </w:pPr>
      <w:r>
        <w:rPr>
          <w:rFonts w:hint="eastAsia" w:eastAsia="方正小标宋_GBK" w:cs="方正小标宋_GBK"/>
          <w:color w:val="000000"/>
          <w:kern w:val="2"/>
          <w:sz w:val="44"/>
          <w:szCs w:val="44"/>
          <w:lang w:bidi="ar"/>
        </w:rPr>
        <w:t>进一步清理消费领域限制性举措</w:t>
      </w:r>
    </w:p>
    <w:p>
      <w:pPr>
        <w:keepNext w:val="0"/>
        <w:keepLines w:val="0"/>
        <w:pageBreakBefore w:val="0"/>
        <w:kinsoku/>
        <w:wordWrap/>
        <w:overflowPunct w:val="0"/>
        <w:topLinePunct w:val="0"/>
        <w:autoSpaceDE/>
        <w:autoSpaceDN/>
        <w:bidi w:val="0"/>
        <w:adjustRightInd/>
        <w:snapToGrid/>
        <w:spacing w:before="0" w:beforeLines="0" w:after="0" w:afterLines="0" w:line="580" w:lineRule="exact"/>
        <w:jc w:val="center"/>
        <w:textAlignment w:val="auto"/>
        <w:outlineLvl w:val="9"/>
        <w:rPr>
          <w:rFonts w:hint="eastAsia" w:eastAsia="方正小标宋_GBK" w:cs="方正小标宋_GBK"/>
          <w:color w:val="000000"/>
          <w:kern w:val="2"/>
          <w:sz w:val="44"/>
          <w:szCs w:val="44"/>
          <w:lang w:bidi="ar"/>
        </w:rPr>
      </w:pPr>
      <w:r>
        <w:rPr>
          <w:rFonts w:hint="eastAsia" w:eastAsia="方正小标宋_GBK" w:cs="方正小标宋_GBK"/>
          <w:color w:val="000000"/>
          <w:kern w:val="2"/>
          <w:sz w:val="44"/>
          <w:szCs w:val="44"/>
          <w:lang w:bidi="ar"/>
        </w:rPr>
        <w:t>持续扩大消费若干措施</w:t>
      </w:r>
    </w:p>
    <w:p>
      <w:pPr>
        <w:overflowPunct w:val="0"/>
        <w:adjustRightInd/>
        <w:spacing w:before="0" w:beforeLines="0" w:after="0" w:afterLines="0" w:line="240" w:lineRule="auto"/>
        <w:textAlignment w:val="auto"/>
        <w:rPr>
          <w:rFonts w:hint="eastAsia" w:cs="方正仿宋_GBK"/>
          <w:color w:val="000000"/>
          <w:kern w:val="2"/>
        </w:rPr>
      </w:pPr>
    </w:p>
    <w:p>
      <w:pPr>
        <w:keepNext w:val="0"/>
        <w:keepLines w:val="0"/>
        <w:pageBreakBefore w:val="0"/>
        <w:kinsoku/>
        <w:wordWrap/>
        <w:overflowPunct w:val="0"/>
        <w:topLinePunct w:val="0"/>
        <w:autoSpaceDE/>
        <w:autoSpaceDN/>
        <w:bidi w:val="0"/>
        <w:adjustRightInd/>
        <w:snapToGrid/>
        <w:spacing w:before="0" w:beforeLines="0" w:after="0" w:afterLines="0" w:line="240" w:lineRule="auto"/>
        <w:ind w:firstLine="632" w:firstLineChars="200"/>
        <w:textAlignment w:val="auto"/>
        <w:rPr>
          <w:rFonts w:hint="eastAsia" w:cs="方正仿宋_GBK"/>
          <w:color w:val="000000"/>
          <w:kern w:val="2"/>
        </w:rPr>
      </w:pPr>
      <w:r>
        <w:rPr>
          <w:rFonts w:hint="eastAsia" w:cs="方正仿宋_GBK"/>
          <w:color w:val="000000"/>
          <w:kern w:val="2"/>
        </w:rPr>
        <w:t>为进一步清理消费领域限制性举措，持续激发消费潜力，结合我市实际，制定如下政策措施。</w:t>
      </w:r>
    </w:p>
    <w:p>
      <w:pPr>
        <w:keepNext w:val="0"/>
        <w:keepLines w:val="0"/>
        <w:pageBreakBefore w:val="0"/>
        <w:kinsoku/>
        <w:wordWrap/>
        <w:overflowPunct w:val="0"/>
        <w:topLinePunct w:val="0"/>
        <w:autoSpaceDE/>
        <w:autoSpaceDN/>
        <w:bidi w:val="0"/>
        <w:adjustRightInd/>
        <w:snapToGrid/>
        <w:spacing w:before="0" w:beforeLines="0" w:after="0" w:afterLines="0" w:line="240" w:lineRule="auto"/>
        <w:ind w:firstLine="632" w:firstLineChars="200"/>
        <w:textAlignment w:val="auto"/>
        <w:rPr>
          <w:rFonts w:hint="eastAsia" w:eastAsia="方正黑体_GBK" w:cs="方正黑体_GBK"/>
          <w:color w:val="000000"/>
          <w:kern w:val="2"/>
        </w:rPr>
      </w:pPr>
      <w:r>
        <w:rPr>
          <w:rFonts w:hint="eastAsia" w:eastAsia="方正黑体_GBK" w:cs="方正黑体_GBK"/>
          <w:color w:val="000000"/>
          <w:kern w:val="2"/>
        </w:rPr>
        <w:t>一、释放汽车消费潜力</w:t>
      </w:r>
    </w:p>
    <w:p>
      <w:pPr>
        <w:keepNext w:val="0"/>
        <w:keepLines w:val="0"/>
        <w:pageBreakBefore w:val="0"/>
        <w:numPr>
          <w:ilvl w:val="0"/>
          <w:numId w:val="0"/>
        </w:numPr>
        <w:kinsoku/>
        <w:wordWrap/>
        <w:overflowPunct w:val="0"/>
        <w:topLinePunct w:val="0"/>
        <w:autoSpaceDE/>
        <w:autoSpaceDN/>
        <w:bidi w:val="0"/>
        <w:adjustRightInd/>
        <w:snapToGrid/>
        <w:spacing w:before="0" w:beforeLines="0" w:after="0" w:afterLines="0" w:line="240" w:lineRule="auto"/>
        <w:ind w:left="0" w:firstLine="632" w:firstLineChars="200"/>
        <w:textAlignment w:val="auto"/>
        <w:rPr>
          <w:rFonts w:hint="eastAsia" w:cs="方正仿宋_GBK"/>
          <w:color w:val="000000"/>
          <w:kern w:val="2"/>
        </w:rPr>
      </w:pPr>
      <w:r>
        <w:rPr>
          <w:rFonts w:hint="eastAsia" w:cs="方正仿宋_GBK"/>
          <w:color w:val="000000"/>
          <w:kern w:val="2"/>
        </w:rPr>
        <w:t>1．支持二手车市场发展壮大。推行“三方四层级全环节”信用承诺闭环管理，支持符合条件的、销售额增长较好的二手车经销企业做大做强。推动强化二手车流通信息互联互通与共享共用，加快打造“安心购车全链条智管”数字化应用，为企业、群众提供更为便利、透明、高效的查询服务。推行二手车交易发票联网核查，转让登记免提交纸质发票。</w:t>
      </w:r>
      <w:r>
        <w:rPr>
          <w:rFonts w:hint="eastAsia" w:eastAsia="方正楷体_GBK" w:cs="方正楷体_GBK"/>
          <w:color w:val="000000"/>
          <w:kern w:val="2"/>
        </w:rPr>
        <w:t>（责任单位：市商务委、市公安局、市市场监管局、重庆市税务局等）</w:t>
      </w:r>
    </w:p>
    <w:p>
      <w:pPr>
        <w:keepNext w:val="0"/>
        <w:keepLines w:val="0"/>
        <w:pageBreakBefore w:val="0"/>
        <w:numPr>
          <w:ilvl w:val="0"/>
          <w:numId w:val="0"/>
        </w:numPr>
        <w:kinsoku/>
        <w:wordWrap/>
        <w:overflowPunct w:val="0"/>
        <w:topLinePunct w:val="0"/>
        <w:autoSpaceDE/>
        <w:autoSpaceDN/>
        <w:bidi w:val="0"/>
        <w:adjustRightInd/>
        <w:snapToGrid/>
        <w:spacing w:before="0" w:beforeLines="0" w:after="0" w:afterLines="0" w:line="240" w:lineRule="auto"/>
        <w:ind w:left="0" w:firstLine="632" w:firstLineChars="200"/>
        <w:textAlignment w:val="auto"/>
        <w:rPr>
          <w:rFonts w:hint="eastAsia" w:cs="方正仿宋_GBK"/>
          <w:color w:val="000000"/>
          <w:kern w:val="2"/>
        </w:rPr>
      </w:pPr>
      <w:r>
        <w:rPr>
          <w:rFonts w:hint="eastAsia" w:cs="方正仿宋_GBK"/>
          <w:color w:val="000000"/>
          <w:kern w:val="2"/>
        </w:rPr>
        <w:t>2．支</w:t>
      </w:r>
      <w:r>
        <w:rPr>
          <w:rFonts w:hint="eastAsia" w:cs="方正仿宋_GBK"/>
          <w:color w:val="000000"/>
          <w:spacing w:val="0"/>
          <w:kern w:val="2"/>
        </w:rPr>
        <w:t>持二手车出口交易。鼓励具备条件的二手车出口企业申办车驾管社会服务站，推行出口二手车转让、注销“一站式”办理。对二手车出口企业收购的车辆开展“容缺办理”，属新车上牌后立即出口的，实行注册登记和转让登记“联办”，需收回的机动车号牌由车管部门内部回收销毁。对在渝采购新车办理注册后，立即以二手车交易形式出口至境外市场的车辆，可按照国家和本市相关规定，购买使用短期交强险。</w:t>
      </w:r>
      <w:r>
        <w:rPr>
          <w:rFonts w:hint="eastAsia" w:eastAsia="方正楷体_GBK" w:cs="方正楷体_GBK"/>
          <w:color w:val="000000"/>
          <w:spacing w:val="0"/>
          <w:kern w:val="2"/>
        </w:rPr>
        <w:t>（责任单位：市公安局、市商务委等）</w:t>
      </w:r>
    </w:p>
    <w:p>
      <w:pPr>
        <w:keepNext w:val="0"/>
        <w:keepLines w:val="0"/>
        <w:pageBreakBefore w:val="0"/>
        <w:numPr>
          <w:ilvl w:val="0"/>
          <w:numId w:val="0"/>
        </w:numPr>
        <w:kinsoku/>
        <w:wordWrap/>
        <w:overflowPunct w:val="0"/>
        <w:topLinePunct w:val="0"/>
        <w:autoSpaceDE/>
        <w:autoSpaceDN/>
        <w:bidi w:val="0"/>
        <w:adjustRightInd/>
        <w:snapToGrid/>
        <w:spacing w:before="0" w:beforeLines="0" w:after="0" w:afterLines="0" w:line="240" w:lineRule="auto"/>
        <w:ind w:left="0" w:firstLine="632" w:firstLineChars="200"/>
        <w:textAlignment w:val="auto"/>
        <w:rPr>
          <w:rFonts w:hint="eastAsia" w:cs="方正仿宋_GBK"/>
          <w:color w:val="000000"/>
          <w:kern w:val="2"/>
        </w:rPr>
      </w:pPr>
      <w:r>
        <w:rPr>
          <w:rFonts w:hint="eastAsia" w:cs="方正仿宋_GBK"/>
          <w:color w:val="000000"/>
          <w:kern w:val="2"/>
        </w:rPr>
        <w:t>3．放宽改装车业务登记。推行加装踏步件“免登记”，对小微型载客汽车在不影响安全和识别号牌的情况下加装出入口踏步件，且未超过车辆宽度的，无需办理机动车变更登记。实施小微型载客汽车换装轮毂、加装车顶行李架、换装不同式样散热器面罩、更换保险杠等登记业务全程网办，机动车所有人（自然人）可通过“警快办”提交换装、加装或更换相关部件后的照片，由公安交管部门远程审核，无须实地交验机动车。</w:t>
      </w:r>
      <w:r>
        <w:rPr>
          <w:rFonts w:hint="eastAsia" w:eastAsia="方正楷体_GBK" w:cs="方正楷体_GBK"/>
          <w:color w:val="000000"/>
          <w:kern w:val="2"/>
        </w:rPr>
        <w:t>（责任单位：市公安局等）</w:t>
      </w:r>
    </w:p>
    <w:p>
      <w:pPr>
        <w:keepNext w:val="0"/>
        <w:keepLines w:val="0"/>
        <w:pageBreakBefore w:val="0"/>
        <w:kinsoku/>
        <w:wordWrap/>
        <w:overflowPunct w:val="0"/>
        <w:topLinePunct w:val="0"/>
        <w:autoSpaceDE/>
        <w:autoSpaceDN/>
        <w:bidi w:val="0"/>
        <w:adjustRightInd/>
        <w:snapToGrid/>
        <w:spacing w:before="0" w:beforeLines="0" w:after="0" w:afterLines="0" w:line="240" w:lineRule="auto"/>
        <w:ind w:firstLine="632" w:firstLineChars="200"/>
        <w:textAlignment w:val="auto"/>
        <w:rPr>
          <w:rFonts w:hint="eastAsia" w:eastAsia="方正黑体_GBK" w:cs="方正黑体_GBK"/>
          <w:color w:val="000000"/>
          <w:kern w:val="2"/>
        </w:rPr>
      </w:pPr>
      <w:r>
        <w:rPr>
          <w:rFonts w:hint="eastAsia" w:eastAsia="方正黑体_GBK" w:cs="方正黑体_GBK"/>
          <w:color w:val="000000"/>
          <w:kern w:val="2"/>
        </w:rPr>
        <w:t>二、促进住房消费健康发展</w:t>
      </w:r>
    </w:p>
    <w:p>
      <w:pPr>
        <w:keepNext w:val="0"/>
        <w:keepLines w:val="0"/>
        <w:pageBreakBefore w:val="0"/>
        <w:numPr>
          <w:ilvl w:val="0"/>
          <w:numId w:val="0"/>
        </w:numPr>
        <w:kinsoku/>
        <w:wordWrap/>
        <w:overflowPunct w:val="0"/>
        <w:topLinePunct w:val="0"/>
        <w:autoSpaceDE/>
        <w:autoSpaceDN/>
        <w:bidi w:val="0"/>
        <w:adjustRightInd/>
        <w:snapToGrid/>
        <w:spacing w:before="0" w:beforeLines="0" w:after="0" w:afterLines="0" w:line="240" w:lineRule="auto"/>
        <w:ind w:left="0" w:firstLine="632" w:firstLineChars="200"/>
        <w:textAlignment w:val="auto"/>
        <w:rPr>
          <w:rFonts w:hint="eastAsia" w:cs="方正仿宋_GBK"/>
          <w:color w:val="000000"/>
          <w:kern w:val="2"/>
        </w:rPr>
      </w:pPr>
      <w:r>
        <w:rPr>
          <w:rFonts w:hint="eastAsia" w:cs="方正仿宋_GBK"/>
          <w:color w:val="000000"/>
          <w:kern w:val="2"/>
        </w:rPr>
        <w:t>4．优化购买存量住房的公积金提取方式。职工使用住房贷款购买我市行政区域内存量自住住房且经网签备案的，可申请提取住房公积金直接支付购房首付款。</w:t>
      </w:r>
      <w:r>
        <w:rPr>
          <w:rFonts w:hint="eastAsia" w:eastAsia="方正楷体_GBK" w:cs="方正楷体_GBK"/>
          <w:color w:val="000000"/>
          <w:kern w:val="2"/>
        </w:rPr>
        <w:t>（责任单位：市住房城乡建委等）</w:t>
      </w:r>
    </w:p>
    <w:p>
      <w:pPr>
        <w:keepNext w:val="0"/>
        <w:keepLines w:val="0"/>
        <w:pageBreakBefore w:val="0"/>
        <w:numPr>
          <w:ilvl w:val="0"/>
          <w:numId w:val="0"/>
        </w:numPr>
        <w:kinsoku/>
        <w:wordWrap/>
        <w:overflowPunct w:val="0"/>
        <w:topLinePunct w:val="0"/>
        <w:autoSpaceDE/>
        <w:autoSpaceDN/>
        <w:bidi w:val="0"/>
        <w:adjustRightInd/>
        <w:snapToGrid/>
        <w:spacing w:before="0" w:beforeLines="0" w:after="0" w:afterLines="0" w:line="240" w:lineRule="auto"/>
        <w:ind w:left="0" w:firstLine="632" w:firstLineChars="200"/>
        <w:textAlignment w:val="auto"/>
        <w:rPr>
          <w:rFonts w:hint="eastAsia" w:cs="方正仿宋_GBK"/>
          <w:color w:val="000000"/>
          <w:kern w:val="2"/>
        </w:rPr>
      </w:pPr>
      <w:r>
        <w:rPr>
          <w:rFonts w:hint="eastAsia" w:cs="方正仿宋_GBK"/>
          <w:color w:val="000000"/>
          <w:kern w:val="2"/>
        </w:rPr>
        <w:t>5．放宽全款购房的公积金提取条件。</w:t>
      </w:r>
      <w:r>
        <w:rPr>
          <w:rFonts w:hint="eastAsia" w:cs="方正仿宋_GBK"/>
          <w:color w:val="000000"/>
          <w:kern w:val="2"/>
          <w:lang w:eastAsia="zh-CN"/>
        </w:rPr>
        <w:t>本通知印发之日起，</w:t>
      </w:r>
      <w:r>
        <w:rPr>
          <w:rFonts w:hint="eastAsia" w:cs="方正仿宋_GBK"/>
          <w:color w:val="000000"/>
          <w:kern w:val="2"/>
        </w:rPr>
        <w:t>职工以自有资金一次性付清购房价款购买自住住房的，可自购房之日起满半年后每年提取一次住房公积金，提取办理时限由两年放宽至五年，提取范围放宽至本人、配偶、子女以及本人与配偶双方的父母，合计提取金额不超过购房总价款。</w:t>
      </w:r>
      <w:r>
        <w:rPr>
          <w:rFonts w:hint="eastAsia" w:eastAsia="方正楷体_GBK" w:cs="方正楷体_GBK"/>
          <w:color w:val="000000"/>
          <w:kern w:val="2"/>
        </w:rPr>
        <w:t>（责任单位：市住房城乡建委等）</w:t>
      </w:r>
    </w:p>
    <w:p>
      <w:pPr>
        <w:keepNext w:val="0"/>
        <w:keepLines w:val="0"/>
        <w:pageBreakBefore w:val="0"/>
        <w:kinsoku/>
        <w:wordWrap/>
        <w:overflowPunct w:val="0"/>
        <w:topLinePunct w:val="0"/>
        <w:autoSpaceDE/>
        <w:autoSpaceDN/>
        <w:bidi w:val="0"/>
        <w:adjustRightInd/>
        <w:snapToGrid/>
        <w:spacing w:before="0" w:beforeLines="0" w:after="0" w:afterLines="0" w:line="240" w:lineRule="auto"/>
        <w:ind w:firstLine="632" w:firstLineChars="200"/>
        <w:textAlignment w:val="auto"/>
        <w:rPr>
          <w:rFonts w:hint="eastAsia" w:eastAsia="方正黑体_GBK" w:cs="方正黑体_GBK"/>
          <w:color w:val="000000"/>
          <w:kern w:val="2"/>
        </w:rPr>
      </w:pPr>
      <w:r>
        <w:rPr>
          <w:rFonts w:hint="eastAsia" w:eastAsia="方正黑体_GBK" w:cs="方正黑体_GBK"/>
          <w:color w:val="000000"/>
          <w:kern w:val="2"/>
        </w:rPr>
        <w:t>三、拓展文体服务消费</w:t>
      </w:r>
    </w:p>
    <w:p>
      <w:pPr>
        <w:keepNext w:val="0"/>
        <w:keepLines w:val="0"/>
        <w:pageBreakBefore w:val="0"/>
        <w:numPr>
          <w:ilvl w:val="0"/>
          <w:numId w:val="0"/>
        </w:numPr>
        <w:kinsoku/>
        <w:wordWrap/>
        <w:overflowPunct w:val="0"/>
        <w:topLinePunct w:val="0"/>
        <w:autoSpaceDE/>
        <w:autoSpaceDN/>
        <w:bidi w:val="0"/>
        <w:adjustRightInd/>
        <w:snapToGrid/>
        <w:spacing w:before="0" w:beforeLines="0" w:after="0" w:afterLines="0" w:line="240" w:lineRule="auto"/>
        <w:ind w:left="0" w:firstLine="632" w:firstLineChars="200"/>
        <w:textAlignment w:val="auto"/>
        <w:rPr>
          <w:rFonts w:hint="eastAsia" w:eastAsia="方正仿宋_GBK" w:cs="方正仿宋_GBK"/>
          <w:color w:val="000000"/>
          <w:kern w:val="2"/>
        </w:rPr>
      </w:pPr>
      <w:r>
        <w:rPr>
          <w:rFonts w:hint="eastAsia" w:cs="方正仿宋_GBK"/>
          <w:color w:val="000000"/>
          <w:kern w:val="2"/>
        </w:rPr>
        <w:t>6．推动体育场馆向社会开放。支持政府投资的体育场馆有序对外开放，探索社会资本投资的体育场馆开放方案，支持有条件的区县，通过各级财政补贴等方式，引导社会资本投资的体育场馆逐步向社会免费或低收费开放，2025年推动首批95个公共体育场馆免费或低收费开放。</w:t>
      </w:r>
      <w:r>
        <w:rPr>
          <w:rFonts w:hint="eastAsia" w:eastAsia="方正楷体_GBK" w:cs="方正楷体_GBK"/>
          <w:color w:val="000000"/>
          <w:kern w:val="2"/>
        </w:rPr>
        <w:t>（责任单位：市体育局、市财政局等）</w:t>
      </w:r>
    </w:p>
    <w:p>
      <w:pPr>
        <w:keepNext w:val="0"/>
        <w:keepLines w:val="0"/>
        <w:pageBreakBefore w:val="0"/>
        <w:numPr>
          <w:ilvl w:val="0"/>
          <w:numId w:val="0"/>
        </w:numPr>
        <w:kinsoku/>
        <w:wordWrap/>
        <w:overflowPunct w:val="0"/>
        <w:topLinePunct w:val="0"/>
        <w:autoSpaceDE/>
        <w:autoSpaceDN/>
        <w:bidi w:val="0"/>
        <w:adjustRightInd/>
        <w:snapToGrid/>
        <w:spacing w:before="0" w:beforeLines="0" w:after="0" w:afterLines="0" w:line="240" w:lineRule="auto"/>
        <w:ind w:left="0" w:firstLine="632" w:firstLineChars="200"/>
        <w:textAlignment w:val="auto"/>
        <w:rPr>
          <w:rFonts w:hint="eastAsia" w:cs="方正仿宋_GBK"/>
          <w:color w:val="000000"/>
          <w:kern w:val="2"/>
        </w:rPr>
      </w:pPr>
      <w:r>
        <w:rPr>
          <w:rFonts w:hint="eastAsia" w:cs="方正仿宋_GBK"/>
          <w:color w:val="000000"/>
          <w:kern w:val="2"/>
        </w:rPr>
        <w:t>7．打造特色体育消费场景。支持有条件的区县完善汽摩等运动项目场地设施建设，打造汽摩运动等主题公园，推动在建和拟建公园中科学设置汽摩、骑行和攀岩等运动项目，利用VR/AR技术打造沉浸式攀岩体验馆、虚拟摩托车赛道，2025年创建6个国家级汽摩运动营地和2个星级营地。</w:t>
      </w:r>
      <w:r>
        <w:rPr>
          <w:rFonts w:hint="eastAsia" w:eastAsia="方正楷体_GBK" w:cs="方正楷体_GBK"/>
          <w:color w:val="000000"/>
          <w:kern w:val="2"/>
        </w:rPr>
        <w:t>（责任单位：市体育局等）</w:t>
      </w:r>
    </w:p>
    <w:p>
      <w:pPr>
        <w:keepNext w:val="0"/>
        <w:keepLines w:val="0"/>
        <w:pageBreakBefore w:val="0"/>
        <w:numPr>
          <w:ilvl w:val="0"/>
          <w:numId w:val="0"/>
        </w:numPr>
        <w:kinsoku/>
        <w:wordWrap/>
        <w:overflowPunct w:val="0"/>
        <w:topLinePunct w:val="0"/>
        <w:autoSpaceDE/>
        <w:autoSpaceDN/>
        <w:bidi w:val="0"/>
        <w:adjustRightInd/>
        <w:snapToGrid/>
        <w:spacing w:before="0" w:beforeLines="0" w:after="0" w:afterLines="0" w:line="240" w:lineRule="auto"/>
        <w:ind w:left="0" w:firstLine="632" w:firstLineChars="200"/>
        <w:textAlignment w:val="auto"/>
        <w:rPr>
          <w:rFonts w:hint="eastAsia" w:cs="方正仿宋_GBK"/>
          <w:color w:val="000000"/>
          <w:kern w:val="2"/>
        </w:rPr>
      </w:pPr>
      <w:r>
        <w:rPr>
          <w:rFonts w:hint="eastAsia" w:cs="方正仿宋_GBK"/>
          <w:color w:val="000000"/>
          <w:kern w:val="2"/>
        </w:rPr>
        <w:t>8．举办特色体育赛事。支持策划打造汽摩运动赛事IP，联合汽摩制造企业配套开展新车发布会、汽摩营销等活动。简化赛事审批流程，降低办赛门槛，支持社会力量承办赛事，对符合条件的体育赛事、消费场景给予财政补贴。</w:t>
      </w:r>
      <w:r>
        <w:rPr>
          <w:rFonts w:hint="eastAsia" w:eastAsia="方正楷体_GBK" w:cs="方正楷体_GBK"/>
          <w:color w:val="000000"/>
          <w:kern w:val="2"/>
        </w:rPr>
        <w:t>（责任单位：市体育局、市经济信息委、市商务委、市财政局等）</w:t>
      </w:r>
    </w:p>
    <w:p>
      <w:pPr>
        <w:keepNext w:val="0"/>
        <w:keepLines w:val="0"/>
        <w:pageBreakBefore w:val="0"/>
        <w:numPr>
          <w:ilvl w:val="0"/>
          <w:numId w:val="0"/>
        </w:numPr>
        <w:kinsoku/>
        <w:wordWrap/>
        <w:overflowPunct w:val="0"/>
        <w:topLinePunct w:val="0"/>
        <w:autoSpaceDE/>
        <w:autoSpaceDN/>
        <w:bidi w:val="0"/>
        <w:adjustRightInd/>
        <w:snapToGrid/>
        <w:spacing w:before="0" w:beforeLines="0" w:after="0" w:afterLines="0" w:line="240" w:lineRule="auto"/>
        <w:ind w:left="0" w:firstLine="632" w:firstLineChars="200"/>
        <w:textAlignment w:val="auto"/>
        <w:rPr>
          <w:rFonts w:hint="eastAsia" w:cs="方正仿宋_GBK"/>
          <w:color w:val="000000"/>
          <w:kern w:val="2"/>
        </w:rPr>
      </w:pPr>
      <w:r>
        <w:rPr>
          <w:rFonts w:hint="eastAsia" w:cs="方正仿宋_GBK"/>
          <w:color w:val="000000"/>
          <w:kern w:val="2"/>
        </w:rPr>
        <w:t>9．利用国有企业存量用地建设体育场地。支持国有企业优化调整存量用地的土地用途，按程序实施供应后建设体育场馆。同时，鼓励国有企业按照市场化原则临时使用存量用地建设体育场地，鼓励社会资本租赁国有企业存量用地进行临时使用建设体育场地，在期限届满后按期退腾。</w:t>
      </w:r>
      <w:r>
        <w:rPr>
          <w:rFonts w:hint="eastAsia" w:eastAsia="方正楷体_GBK" w:cs="方正楷体_GBK"/>
          <w:color w:val="000000"/>
          <w:kern w:val="2"/>
        </w:rPr>
        <w:t>（责任单位：市国资委、市规划自然资源局、市体育局等）</w:t>
      </w:r>
    </w:p>
    <w:p>
      <w:pPr>
        <w:keepNext w:val="0"/>
        <w:keepLines w:val="0"/>
        <w:pageBreakBefore w:val="0"/>
        <w:numPr>
          <w:ilvl w:val="0"/>
          <w:numId w:val="0"/>
        </w:numPr>
        <w:kinsoku/>
        <w:wordWrap/>
        <w:overflowPunct w:val="0"/>
        <w:topLinePunct w:val="0"/>
        <w:autoSpaceDE/>
        <w:autoSpaceDN/>
        <w:bidi w:val="0"/>
        <w:adjustRightInd/>
        <w:snapToGrid/>
        <w:spacing w:before="0" w:beforeLines="0" w:after="0" w:afterLines="0" w:line="240" w:lineRule="auto"/>
        <w:ind w:left="0" w:firstLine="632" w:firstLineChars="200"/>
        <w:textAlignment w:val="auto"/>
        <w:rPr>
          <w:rFonts w:hint="eastAsia" w:cs="方正仿宋_GBK"/>
          <w:color w:val="000000"/>
          <w:kern w:val="2"/>
        </w:rPr>
      </w:pPr>
      <w:r>
        <w:rPr>
          <w:rFonts w:hint="eastAsia" w:cs="方正仿宋_GBK"/>
          <w:color w:val="000000"/>
          <w:kern w:val="2"/>
        </w:rPr>
        <w:t>10．推动便民体育设施进公园。鼓励在口袋公园建设、城市公园更新提质改造项目中完善各类便民体育设施，支持各区县在现有公园的基础上，通过改扩建等方式，增设体育场地和健身器械，对达到体育公园建设标准的给予相应资助。</w:t>
      </w:r>
      <w:r>
        <w:rPr>
          <w:rFonts w:hint="eastAsia" w:eastAsia="方正楷体_GBK" w:cs="方正楷体_GBK"/>
          <w:color w:val="000000"/>
          <w:kern w:val="2"/>
        </w:rPr>
        <w:t>（责任单位：市城市管理局、市体育局等）</w:t>
      </w:r>
    </w:p>
    <w:p>
      <w:pPr>
        <w:keepNext w:val="0"/>
        <w:keepLines w:val="0"/>
        <w:pageBreakBefore w:val="0"/>
        <w:numPr>
          <w:ilvl w:val="0"/>
          <w:numId w:val="0"/>
        </w:numPr>
        <w:kinsoku/>
        <w:wordWrap/>
        <w:overflowPunct w:val="0"/>
        <w:topLinePunct w:val="0"/>
        <w:autoSpaceDE/>
        <w:autoSpaceDN/>
        <w:bidi w:val="0"/>
        <w:adjustRightInd/>
        <w:snapToGrid/>
        <w:spacing w:before="0" w:beforeLines="0" w:after="0" w:afterLines="0" w:line="240" w:lineRule="auto"/>
        <w:ind w:left="0" w:firstLine="632" w:firstLineChars="200"/>
        <w:textAlignment w:val="auto"/>
        <w:rPr>
          <w:rFonts w:hint="eastAsia" w:cs="方正仿宋_GBK"/>
          <w:color w:val="000000"/>
          <w:kern w:val="2"/>
        </w:rPr>
      </w:pPr>
      <w:r>
        <w:rPr>
          <w:rFonts w:hint="eastAsia" w:cs="方正仿宋_GBK"/>
          <w:color w:val="000000"/>
          <w:kern w:val="2"/>
        </w:rPr>
        <w:t>11．丰富公园便民商业业态。制定公园配套服务经营指导意见，推动逐步放宽综合性公园建筑面积占比限制，引导餐饮零售、运动健身、休闲娱乐、游览游艺、科普教育等多种便民商业业态进公园。</w:t>
      </w:r>
      <w:r>
        <w:rPr>
          <w:rFonts w:hint="eastAsia" w:eastAsia="方正楷体_GBK" w:cs="方正楷体_GBK"/>
          <w:color w:val="000000"/>
          <w:kern w:val="2"/>
        </w:rPr>
        <w:t>（责任单位：市城市管理局、市商务委等）</w:t>
      </w:r>
    </w:p>
    <w:p>
      <w:pPr>
        <w:keepNext w:val="0"/>
        <w:keepLines w:val="0"/>
        <w:pageBreakBefore w:val="0"/>
        <w:numPr>
          <w:ilvl w:val="0"/>
          <w:numId w:val="0"/>
        </w:numPr>
        <w:kinsoku/>
        <w:wordWrap/>
        <w:overflowPunct w:val="0"/>
        <w:topLinePunct w:val="0"/>
        <w:autoSpaceDE/>
        <w:autoSpaceDN/>
        <w:bidi w:val="0"/>
        <w:adjustRightInd/>
        <w:snapToGrid/>
        <w:spacing w:before="0" w:beforeLines="0" w:after="0" w:afterLines="0" w:line="240" w:lineRule="auto"/>
        <w:ind w:left="0" w:firstLine="632" w:firstLineChars="200"/>
        <w:textAlignment w:val="auto"/>
        <w:rPr>
          <w:rFonts w:hint="eastAsia" w:cs="方正仿宋_GBK"/>
          <w:color w:val="000000"/>
          <w:kern w:val="2"/>
        </w:rPr>
      </w:pPr>
      <w:r>
        <w:rPr>
          <w:rFonts w:hint="eastAsia" w:cs="方正仿宋_GBK"/>
          <w:color w:val="000000"/>
          <w:kern w:val="2"/>
        </w:rPr>
        <w:t>12．提振文旅服务消费。除长江索道外，全市其他旅游景区逐步取消符合条件的游客预约登记。持续繁荣营业性演出市场，加大演出市场经营主体培育力度，严格落实“一次审批、全国巡演”。完善演艺赛事预约机制，打击黄牛倒票行为。</w:t>
      </w:r>
      <w:r>
        <w:rPr>
          <w:rFonts w:hint="eastAsia" w:eastAsia="方正楷体_GBK" w:cs="方正楷体_GBK"/>
          <w:color w:val="000000"/>
          <w:kern w:val="2"/>
        </w:rPr>
        <w:t>（责任单位：市文化旅游委、市公安局等）</w:t>
      </w:r>
    </w:p>
    <w:p>
      <w:pPr>
        <w:keepNext w:val="0"/>
        <w:keepLines w:val="0"/>
        <w:pageBreakBefore w:val="0"/>
        <w:kinsoku/>
        <w:wordWrap/>
        <w:overflowPunct w:val="0"/>
        <w:topLinePunct w:val="0"/>
        <w:autoSpaceDE/>
        <w:autoSpaceDN/>
        <w:bidi w:val="0"/>
        <w:adjustRightInd/>
        <w:snapToGrid/>
        <w:spacing w:before="0" w:beforeLines="0" w:after="0" w:afterLines="0" w:line="240" w:lineRule="auto"/>
        <w:ind w:firstLine="632" w:firstLineChars="200"/>
        <w:textAlignment w:val="auto"/>
        <w:rPr>
          <w:rFonts w:hint="eastAsia" w:eastAsia="方正黑体_GBK" w:cs="方正黑体_GBK"/>
          <w:color w:val="000000"/>
          <w:kern w:val="2"/>
        </w:rPr>
      </w:pPr>
      <w:r>
        <w:rPr>
          <w:rFonts w:hint="eastAsia" w:eastAsia="方正黑体_GBK" w:cs="方正黑体_GBK"/>
          <w:color w:val="000000"/>
          <w:kern w:val="2"/>
        </w:rPr>
        <w:t>四、积极吸引外来消费</w:t>
      </w:r>
    </w:p>
    <w:p>
      <w:pPr>
        <w:keepNext w:val="0"/>
        <w:keepLines w:val="0"/>
        <w:pageBreakBefore w:val="0"/>
        <w:numPr>
          <w:ilvl w:val="0"/>
          <w:numId w:val="0"/>
        </w:numPr>
        <w:kinsoku/>
        <w:wordWrap/>
        <w:overflowPunct w:val="0"/>
        <w:topLinePunct w:val="0"/>
        <w:autoSpaceDE/>
        <w:autoSpaceDN/>
        <w:bidi w:val="0"/>
        <w:adjustRightInd/>
        <w:snapToGrid/>
        <w:spacing w:before="0" w:beforeLines="0" w:after="0" w:afterLines="0" w:line="240" w:lineRule="auto"/>
        <w:ind w:left="0" w:firstLine="632" w:firstLineChars="200"/>
        <w:textAlignment w:val="auto"/>
        <w:rPr>
          <w:rFonts w:hint="eastAsia" w:cs="方正仿宋_GBK"/>
          <w:color w:val="000000"/>
          <w:kern w:val="2"/>
        </w:rPr>
      </w:pPr>
      <w:r>
        <w:rPr>
          <w:rFonts w:hint="eastAsia" w:cs="方正仿宋_GBK"/>
          <w:color w:val="000000"/>
          <w:kern w:val="2"/>
        </w:rPr>
        <w:t>13．提升入境消费服务水平。大力发展离境退税商店，加快推进入境消费友好型商圈建设。持续提升入境支付便利化环境改造覆盖范围，支持商户进行外卡受理环境改造，集中建设一批综合服务点和集中退付点，规范化设置公共场所双语标识标牌，力争2025年中心城区重点商圈便利化支付环境改造率达100%。</w:t>
      </w:r>
      <w:r>
        <w:rPr>
          <w:rFonts w:hint="eastAsia" w:eastAsia="方正楷体_GBK" w:cs="方正楷体_GBK"/>
          <w:color w:val="000000"/>
          <w:kern w:val="2"/>
        </w:rPr>
        <w:t>（责任单位：市商务委、重庆市税务局等）</w:t>
      </w:r>
    </w:p>
    <w:p>
      <w:pPr>
        <w:keepNext w:val="0"/>
        <w:keepLines w:val="0"/>
        <w:pageBreakBefore w:val="0"/>
        <w:numPr>
          <w:ilvl w:val="0"/>
          <w:numId w:val="0"/>
        </w:numPr>
        <w:kinsoku/>
        <w:wordWrap/>
        <w:overflowPunct w:val="0"/>
        <w:topLinePunct w:val="0"/>
        <w:autoSpaceDE/>
        <w:autoSpaceDN/>
        <w:bidi w:val="0"/>
        <w:adjustRightInd/>
        <w:snapToGrid/>
        <w:spacing w:before="0" w:beforeLines="0" w:after="0" w:afterLines="0" w:line="240" w:lineRule="auto"/>
        <w:ind w:left="0" w:firstLine="632" w:firstLineChars="200"/>
        <w:textAlignment w:val="auto"/>
        <w:rPr>
          <w:rFonts w:hint="eastAsia" w:cs="方正仿宋_GBK"/>
          <w:color w:val="000000"/>
          <w:kern w:val="2"/>
        </w:rPr>
      </w:pPr>
      <w:r>
        <w:rPr>
          <w:rFonts w:hint="eastAsia" w:cs="方正仿宋_GBK"/>
          <w:color w:val="000000"/>
          <w:kern w:val="2"/>
        </w:rPr>
        <w:t>14．优化升级入境旅游服务。推广口岸旅游签“一网通办”，支持线上填报入境旅游团签申请，利用OCR技术采集外国人护照信息，提升口岸签证签发质效。开通急事急办“绿色通道”，优化口岸签证流程，为有紧急需求的旅行社开通“绿色通道”，办证时间压缩至1个工作日。畅通警企联络机制，开展实地走访、业务培训和政策宣介，点对点解决旅行社的问题和困难。</w:t>
      </w:r>
      <w:r>
        <w:rPr>
          <w:rFonts w:hint="eastAsia" w:eastAsia="方正楷体_GBK" w:cs="方正楷体_GBK"/>
          <w:color w:val="000000"/>
          <w:kern w:val="2"/>
        </w:rPr>
        <w:t>（责任单位：市公安局、市文化旅游委等）</w:t>
      </w:r>
    </w:p>
    <w:p>
      <w:pPr>
        <w:numPr>
          <w:ilvl w:val="0"/>
          <w:numId w:val="0"/>
        </w:numPr>
        <w:overflowPunct w:val="0"/>
        <w:adjustRightInd/>
        <w:spacing w:before="0" w:beforeLines="0" w:after="0" w:afterLines="0" w:line="240" w:lineRule="auto"/>
        <w:ind w:left="0" w:firstLine="632" w:firstLineChars="200"/>
        <w:textAlignment w:val="auto"/>
        <w:rPr>
          <w:rFonts w:hint="eastAsia" w:cs="方正仿宋_GBK"/>
          <w:color w:val="000000"/>
          <w:kern w:val="2"/>
        </w:rPr>
      </w:pPr>
      <w:r>
        <w:rPr>
          <w:rFonts w:hint="eastAsia" w:cs="方正仿宋_GBK"/>
          <w:color w:val="000000"/>
          <w:kern w:val="2"/>
        </w:rPr>
        <w:t>15．加强特色消费品牌培育。构建“渝伴礼”品牌运营平台，搭建产销协同联动平台，支持进机场、进高铁站、进商圈、进景区、进免税店（离境退税店），拓展开设线上营销门店。培育名菜、名宴、名厨、名店、名企、名街、名节，力争2025年上榜黑珍珠餐厅6家、必吃榜95家，引进落地米其林大厨餐厅4家。</w:t>
      </w:r>
      <w:r>
        <w:rPr>
          <w:rFonts w:hint="eastAsia" w:eastAsia="方正楷体_GBK" w:cs="方正楷体_GBK"/>
          <w:color w:val="000000"/>
          <w:kern w:val="2"/>
        </w:rPr>
        <w:t>（责任单位：市商务委等）</w:t>
      </w:r>
    </w:p>
    <w:p>
      <w:pPr>
        <w:keepNext w:val="0"/>
        <w:keepLines w:val="0"/>
        <w:pageBreakBefore w:val="0"/>
        <w:kinsoku/>
        <w:wordWrap/>
        <w:overflowPunct w:val="0"/>
        <w:topLinePunct w:val="0"/>
        <w:autoSpaceDE/>
        <w:autoSpaceDN/>
        <w:bidi w:val="0"/>
        <w:adjustRightInd/>
        <w:snapToGrid/>
        <w:spacing w:before="0" w:beforeLines="0" w:after="0" w:afterLines="0" w:line="240" w:lineRule="auto"/>
        <w:ind w:firstLine="632" w:firstLineChars="200"/>
        <w:textAlignment w:val="auto"/>
        <w:rPr>
          <w:rFonts w:hint="eastAsia" w:eastAsia="方正黑体_GBK" w:cs="方正黑体_GBK"/>
          <w:color w:val="000000"/>
          <w:kern w:val="2"/>
        </w:rPr>
      </w:pPr>
      <w:r>
        <w:rPr>
          <w:rFonts w:hint="eastAsia" w:eastAsia="方正黑体_GBK" w:cs="方正黑体_GBK"/>
          <w:color w:val="000000"/>
          <w:kern w:val="2"/>
        </w:rPr>
        <w:t>五、优化医疗服务消费</w:t>
      </w:r>
    </w:p>
    <w:p>
      <w:pPr>
        <w:keepNext w:val="0"/>
        <w:keepLines w:val="0"/>
        <w:pageBreakBefore w:val="0"/>
        <w:numPr>
          <w:ilvl w:val="0"/>
          <w:numId w:val="0"/>
        </w:numPr>
        <w:kinsoku/>
        <w:wordWrap/>
        <w:overflowPunct w:val="0"/>
        <w:topLinePunct w:val="0"/>
        <w:autoSpaceDE/>
        <w:autoSpaceDN/>
        <w:bidi w:val="0"/>
        <w:adjustRightInd/>
        <w:snapToGrid/>
        <w:spacing w:before="0" w:beforeLines="0" w:after="0" w:afterLines="0" w:line="240" w:lineRule="auto"/>
        <w:ind w:left="0" w:firstLine="632" w:firstLineChars="200"/>
        <w:textAlignment w:val="auto"/>
        <w:rPr>
          <w:rFonts w:hint="eastAsia" w:cs="方正仿宋_GBK"/>
          <w:color w:val="000000"/>
          <w:kern w:val="2"/>
        </w:rPr>
      </w:pPr>
      <w:r>
        <w:rPr>
          <w:rFonts w:hint="eastAsia" w:cs="方正仿宋_GBK"/>
          <w:color w:val="000000"/>
          <w:kern w:val="2"/>
        </w:rPr>
        <w:t>16．支持医疗机构提供多元化服务。</w:t>
      </w:r>
      <w:r>
        <w:rPr>
          <w:rFonts w:hint="eastAsia" w:cs="方正仿宋_GBK"/>
          <w:snapToGrid w:val="0"/>
          <w:color w:val="000000"/>
        </w:rPr>
        <w:t>支持医疗机构按国家规定开展包括涉外医疗服务在内的个性化、多层次医疗服务，由医疗机构自主定价并报医保部门。</w:t>
      </w:r>
      <w:r>
        <w:rPr>
          <w:rFonts w:hint="eastAsia" w:eastAsia="方正楷体_GBK" w:cs="方正楷体_GBK"/>
          <w:color w:val="000000"/>
          <w:kern w:val="2"/>
        </w:rPr>
        <w:t>（责任单位：市医保局等）</w:t>
      </w:r>
    </w:p>
    <w:p>
      <w:pPr>
        <w:keepNext w:val="0"/>
        <w:keepLines w:val="0"/>
        <w:pageBreakBefore w:val="0"/>
        <w:kinsoku/>
        <w:wordWrap/>
        <w:overflowPunct w:val="0"/>
        <w:topLinePunct w:val="0"/>
        <w:autoSpaceDE/>
        <w:autoSpaceDN/>
        <w:bidi w:val="0"/>
        <w:adjustRightInd/>
        <w:snapToGrid/>
        <w:spacing w:before="0" w:beforeLines="0" w:after="0" w:afterLines="0" w:line="240" w:lineRule="auto"/>
        <w:ind w:firstLine="632" w:firstLineChars="200"/>
        <w:textAlignment w:val="auto"/>
        <w:rPr>
          <w:rFonts w:hint="eastAsia" w:eastAsia="方正黑体_GBK" w:cs="方正黑体_GBK"/>
          <w:color w:val="000000"/>
          <w:kern w:val="2"/>
        </w:rPr>
      </w:pPr>
      <w:r>
        <w:rPr>
          <w:rFonts w:hint="eastAsia" w:eastAsia="方正黑体_GBK" w:cs="方正黑体_GBK"/>
          <w:color w:val="000000"/>
          <w:kern w:val="2"/>
        </w:rPr>
        <w:t>六、持续优化消费环境</w:t>
      </w:r>
    </w:p>
    <w:p>
      <w:pPr>
        <w:numPr>
          <w:ilvl w:val="0"/>
          <w:numId w:val="0"/>
        </w:numPr>
        <w:overflowPunct w:val="0"/>
        <w:adjustRightInd/>
        <w:spacing w:before="0" w:beforeLines="0" w:after="0" w:afterLines="0" w:line="240" w:lineRule="auto"/>
        <w:ind w:left="0" w:firstLine="632" w:firstLineChars="200"/>
        <w:textAlignment w:val="auto"/>
        <w:rPr>
          <w:rFonts w:hint="eastAsia" w:cs="方正仿宋_GBK"/>
          <w:color w:val="000000"/>
          <w:kern w:val="2"/>
        </w:rPr>
      </w:pPr>
      <w:r>
        <w:rPr>
          <w:rFonts w:hint="eastAsia" w:cs="方正仿宋_GBK"/>
          <w:color w:val="000000"/>
          <w:kern w:val="2"/>
        </w:rPr>
        <w:t>17．依法打击假冒伪劣行为。</w:t>
      </w:r>
      <w:r>
        <w:rPr>
          <w:rFonts w:hint="eastAsia" w:cs="方正仿宋_GBK"/>
          <w:color w:val="000000"/>
          <w:kern w:val="2"/>
          <w:shd w:val="clear" w:color="auto" w:fill="FFFFFF"/>
        </w:rPr>
        <w:t>强化线上线下一体化执法，加大网售产品监督抽查覆盖面和频次，依法严厉打击不符合国家强制性标准以及以假充真、以次充好、以不合格产品冒充合格产品等违法行为。</w:t>
      </w:r>
      <w:r>
        <w:rPr>
          <w:rFonts w:hint="eastAsia" w:eastAsia="方正楷体_GBK" w:cs="方正楷体_GBK"/>
          <w:color w:val="000000"/>
          <w:kern w:val="2"/>
        </w:rPr>
        <w:t>（责任单位：市市场监管局等）</w:t>
      </w:r>
    </w:p>
    <w:p>
      <w:pPr>
        <w:keepNext w:val="0"/>
        <w:keepLines w:val="0"/>
        <w:pageBreakBefore w:val="0"/>
        <w:numPr>
          <w:ilvl w:val="0"/>
          <w:numId w:val="0"/>
        </w:numPr>
        <w:kinsoku/>
        <w:wordWrap/>
        <w:overflowPunct w:val="0"/>
        <w:topLinePunct w:val="0"/>
        <w:autoSpaceDE/>
        <w:autoSpaceDN/>
        <w:bidi w:val="0"/>
        <w:adjustRightInd/>
        <w:snapToGrid/>
        <w:spacing w:before="0" w:beforeLines="0" w:after="0" w:afterLines="0" w:line="240" w:lineRule="auto"/>
        <w:ind w:left="0" w:firstLine="632" w:firstLineChars="200"/>
        <w:textAlignment w:val="auto"/>
        <w:rPr>
          <w:rFonts w:hint="eastAsia" w:ascii="Times New Roman" w:hAnsi="Times New Roman" w:eastAsia="方正楷体_GBK" w:cs="方正楷体_GBK"/>
          <w:color w:val="000000"/>
          <w:kern w:val="2"/>
        </w:rPr>
      </w:pPr>
      <w:r>
        <w:rPr>
          <w:rFonts w:hint="eastAsia" w:cs="方正仿宋_GBK"/>
          <w:color w:val="000000"/>
          <w:kern w:val="2"/>
        </w:rPr>
        <w:t>18．优化消费领域行政执法。</w:t>
      </w:r>
      <w:r>
        <w:rPr>
          <w:rFonts w:hint="eastAsia" w:cs="方正仿宋_GBK"/>
          <w:color w:val="000000"/>
          <w:shd w:val="clear" w:color="auto" w:fill="FFFFFF"/>
          <w:lang w:bidi="ar"/>
        </w:rPr>
        <w:t>梳理消费领域行政检查事项并实行动态管理，按程序向社会公布，接受企业和社会监督。持续在消费领域依托全市统一的“执法+监督”数字应用开展跨部门联合检查，减少多头重复检查等扰企行为</w:t>
      </w:r>
      <w:r>
        <w:rPr>
          <w:rFonts w:hint="eastAsia" w:cs="方正仿宋_GBK"/>
          <w:color w:val="000000"/>
          <w:kern w:val="2"/>
        </w:rPr>
        <w:t>。明确“区域沙盒”“主体沙盒”范围，落地“观察期”“触发式”“非现场”等监管方式，持续完善行政违法行为首违不罚、轻微免罚清单。</w:t>
      </w:r>
      <w:r>
        <w:rPr>
          <w:rFonts w:hint="eastAsia" w:eastAsia="方正楷体_GBK" w:cs="方正楷体_GBK"/>
          <w:color w:val="000000"/>
          <w:kern w:val="2"/>
        </w:rPr>
        <w:t>（责任单位：市市场监管局、市司法局、市文化旅游委等）</w:t>
      </w:r>
    </w:p>
    <w:p>
      <w:pPr>
        <w:keepNext w:val="0"/>
        <w:keepLines w:val="0"/>
        <w:pageBreakBefore w:val="0"/>
        <w:numPr>
          <w:ilvl w:val="0"/>
          <w:numId w:val="0"/>
        </w:numPr>
        <w:kinsoku/>
        <w:wordWrap/>
        <w:overflowPunct w:val="0"/>
        <w:topLinePunct w:val="0"/>
        <w:autoSpaceDE/>
        <w:autoSpaceDN/>
        <w:bidi w:val="0"/>
        <w:adjustRightInd/>
        <w:snapToGrid/>
        <w:spacing w:before="0" w:beforeLines="0" w:after="0" w:afterLines="0" w:line="240" w:lineRule="auto"/>
        <w:ind w:left="0" w:firstLine="0" w:firstLineChars="0"/>
        <w:textAlignment w:val="auto"/>
        <w:rPr>
          <w:rFonts w:hint="eastAsia" w:ascii="Times New Roman" w:hAnsi="Times New Roman" w:eastAsia="方正楷体_GBK" w:cs="方正楷体_GBK"/>
          <w:color w:val="000000"/>
          <w:kern w:val="2"/>
        </w:rPr>
      </w:pPr>
    </w:p>
    <w:p>
      <w:pPr>
        <w:keepNext w:val="0"/>
        <w:keepLines w:val="0"/>
        <w:pageBreakBefore w:val="0"/>
        <w:numPr>
          <w:ilvl w:val="0"/>
          <w:numId w:val="0"/>
        </w:numPr>
        <w:kinsoku/>
        <w:wordWrap/>
        <w:overflowPunct w:val="0"/>
        <w:topLinePunct w:val="0"/>
        <w:autoSpaceDE/>
        <w:autoSpaceDN/>
        <w:bidi w:val="0"/>
        <w:adjustRightInd/>
        <w:snapToGrid/>
        <w:spacing w:before="0" w:beforeLines="0" w:after="0" w:afterLines="0" w:line="240" w:lineRule="auto"/>
        <w:ind w:left="0" w:firstLine="0" w:firstLineChars="0"/>
        <w:textAlignment w:val="auto"/>
        <w:rPr>
          <w:rFonts w:hint="eastAsia" w:ascii="Times New Roman" w:hAnsi="Times New Roman" w:eastAsia="方正楷体_GBK" w:cs="方正楷体_GBK"/>
          <w:color w:val="000000"/>
          <w:kern w:val="2"/>
        </w:rPr>
      </w:pPr>
    </w:p>
    <w:p>
      <w:pPr>
        <w:keepNext w:val="0"/>
        <w:keepLines w:val="0"/>
        <w:pageBreakBefore w:val="0"/>
        <w:kinsoku/>
        <w:wordWrap/>
        <w:overflowPunct w:val="0"/>
        <w:topLinePunct w:val="0"/>
        <w:autoSpaceDE/>
        <w:autoSpaceDN/>
        <w:bidi w:val="0"/>
        <w:adjustRightInd/>
        <w:snapToGrid/>
        <w:spacing w:before="0" w:beforeLines="0" w:after="0" w:afterLines="0" w:line="240" w:lineRule="auto"/>
        <w:textAlignment w:val="auto"/>
        <w:rPr>
          <w:rFonts w:ascii="Times New Roman" w:hAnsi="Times New Roman" w:cs="方正仿宋_GBK"/>
          <w:kern w:val="2"/>
        </w:rPr>
      </w:pPr>
    </w:p>
    <w:p>
      <w:pPr>
        <w:keepNext w:val="0"/>
        <w:keepLines w:val="0"/>
        <w:pageBreakBefore w:val="0"/>
        <w:kinsoku/>
        <w:wordWrap/>
        <w:overflowPunct w:val="0"/>
        <w:topLinePunct w:val="0"/>
        <w:autoSpaceDE/>
        <w:autoSpaceDN/>
        <w:bidi w:val="0"/>
        <w:adjustRightInd/>
        <w:snapToGrid/>
        <w:spacing w:before="0" w:beforeLines="0" w:after="0" w:afterLines="0" w:line="240" w:lineRule="auto"/>
        <w:textAlignment w:val="auto"/>
        <w:rPr>
          <w:rFonts w:ascii="Times New Roman" w:hAnsi="Times New Roman" w:cs="方正仿宋_GBK"/>
          <w:kern w:val="2"/>
        </w:rPr>
      </w:pPr>
    </w:p>
    <w:p>
      <w:pPr>
        <w:keepNext w:val="0"/>
        <w:keepLines w:val="0"/>
        <w:pageBreakBefore w:val="0"/>
        <w:kinsoku/>
        <w:wordWrap/>
        <w:overflowPunct w:val="0"/>
        <w:topLinePunct w:val="0"/>
        <w:autoSpaceDE/>
        <w:autoSpaceDN/>
        <w:bidi w:val="0"/>
        <w:adjustRightInd/>
        <w:snapToGrid/>
        <w:spacing w:before="0" w:beforeLines="0" w:after="0" w:afterLines="0" w:line="240" w:lineRule="auto"/>
        <w:textAlignment w:val="auto"/>
        <w:rPr>
          <w:rFonts w:ascii="Times New Roman" w:hAnsi="Times New Roman" w:cs="方正仿宋_GBK"/>
          <w:kern w:val="2"/>
        </w:rPr>
      </w:pPr>
    </w:p>
    <w:p>
      <w:pPr>
        <w:keepNext w:val="0"/>
        <w:keepLines w:val="0"/>
        <w:pageBreakBefore w:val="0"/>
        <w:kinsoku/>
        <w:wordWrap/>
        <w:overflowPunct w:val="0"/>
        <w:topLinePunct w:val="0"/>
        <w:autoSpaceDE/>
        <w:autoSpaceDN/>
        <w:bidi w:val="0"/>
        <w:adjustRightInd/>
        <w:snapToGrid/>
        <w:spacing w:before="0" w:beforeLines="0" w:after="0" w:afterLines="0" w:line="240" w:lineRule="auto"/>
        <w:textAlignment w:val="auto"/>
        <w:rPr>
          <w:rFonts w:ascii="Times New Roman" w:hAnsi="Times New Roman" w:cs="方正仿宋_GBK"/>
          <w:kern w:val="2"/>
        </w:rPr>
      </w:pPr>
    </w:p>
    <w:p>
      <w:pPr>
        <w:keepNext w:val="0"/>
        <w:keepLines w:val="0"/>
        <w:pageBreakBefore w:val="0"/>
        <w:kinsoku/>
        <w:wordWrap/>
        <w:overflowPunct w:val="0"/>
        <w:topLinePunct w:val="0"/>
        <w:autoSpaceDE/>
        <w:autoSpaceDN/>
        <w:bidi w:val="0"/>
        <w:adjustRightInd/>
        <w:snapToGrid/>
        <w:spacing w:before="0" w:beforeLines="0" w:after="0" w:afterLines="0" w:line="240" w:lineRule="auto"/>
        <w:textAlignment w:val="auto"/>
        <w:rPr>
          <w:rFonts w:ascii="Times New Roman" w:hAnsi="Times New Roman" w:cs="方正仿宋_GBK"/>
          <w:kern w:val="2"/>
        </w:rPr>
      </w:pPr>
    </w:p>
    <w:p>
      <w:pPr>
        <w:keepNext w:val="0"/>
        <w:keepLines w:val="0"/>
        <w:pageBreakBefore w:val="0"/>
        <w:kinsoku/>
        <w:wordWrap/>
        <w:overflowPunct w:val="0"/>
        <w:topLinePunct w:val="0"/>
        <w:autoSpaceDE/>
        <w:autoSpaceDN/>
        <w:bidi w:val="0"/>
        <w:adjustRightInd/>
        <w:snapToGrid/>
        <w:spacing w:before="0" w:beforeLines="0" w:after="0" w:afterLines="0" w:line="240" w:lineRule="auto"/>
        <w:textAlignment w:val="auto"/>
        <w:rPr>
          <w:rFonts w:ascii="Times New Roman" w:hAnsi="Times New Roman" w:cs="方正仿宋_GBK"/>
          <w:kern w:val="2"/>
        </w:rPr>
      </w:pPr>
    </w:p>
    <w:p>
      <w:pPr>
        <w:keepNext w:val="0"/>
        <w:keepLines w:val="0"/>
        <w:pageBreakBefore w:val="0"/>
        <w:kinsoku/>
        <w:wordWrap/>
        <w:overflowPunct w:val="0"/>
        <w:topLinePunct w:val="0"/>
        <w:autoSpaceDE/>
        <w:autoSpaceDN/>
        <w:bidi w:val="0"/>
        <w:adjustRightInd/>
        <w:snapToGrid/>
        <w:spacing w:before="0" w:beforeLines="0" w:after="0" w:afterLines="0" w:line="240" w:lineRule="auto"/>
        <w:textAlignment w:val="auto"/>
        <w:rPr>
          <w:rFonts w:ascii="Times New Roman" w:hAnsi="Times New Roman" w:cs="方正仿宋_GBK"/>
          <w:kern w:val="2"/>
        </w:rPr>
      </w:pPr>
    </w:p>
    <w:p>
      <w:pPr>
        <w:keepNext w:val="0"/>
        <w:keepLines w:val="0"/>
        <w:pageBreakBefore w:val="0"/>
        <w:kinsoku/>
        <w:wordWrap/>
        <w:overflowPunct w:val="0"/>
        <w:topLinePunct w:val="0"/>
        <w:autoSpaceDE/>
        <w:autoSpaceDN/>
        <w:bidi w:val="0"/>
        <w:adjustRightInd/>
        <w:snapToGrid/>
        <w:spacing w:before="0" w:beforeLines="0" w:after="0" w:afterLines="0" w:line="240" w:lineRule="auto"/>
        <w:textAlignment w:val="auto"/>
        <w:rPr>
          <w:rFonts w:ascii="Times New Roman" w:hAnsi="Times New Roman" w:cs="方正仿宋_GBK"/>
          <w:kern w:val="2"/>
        </w:rPr>
      </w:pPr>
    </w:p>
    <w:p>
      <w:pPr>
        <w:keepNext w:val="0"/>
        <w:keepLines w:val="0"/>
        <w:pageBreakBefore w:val="0"/>
        <w:kinsoku/>
        <w:wordWrap/>
        <w:overflowPunct w:val="0"/>
        <w:topLinePunct w:val="0"/>
        <w:autoSpaceDE/>
        <w:autoSpaceDN/>
        <w:bidi w:val="0"/>
        <w:adjustRightInd/>
        <w:snapToGrid/>
        <w:spacing w:before="0" w:beforeLines="0" w:after="0" w:afterLines="0" w:line="240" w:lineRule="auto"/>
        <w:textAlignment w:val="auto"/>
        <w:rPr>
          <w:rFonts w:ascii="Times New Roman" w:hAnsi="Times New Roman" w:cs="方正仿宋_GBK"/>
          <w:kern w:val="2"/>
        </w:rPr>
      </w:pPr>
    </w:p>
    <w:p>
      <w:pPr>
        <w:keepNext w:val="0"/>
        <w:keepLines w:val="0"/>
        <w:pageBreakBefore w:val="0"/>
        <w:kinsoku/>
        <w:wordWrap/>
        <w:overflowPunct w:val="0"/>
        <w:topLinePunct w:val="0"/>
        <w:autoSpaceDE/>
        <w:autoSpaceDN/>
        <w:bidi w:val="0"/>
        <w:adjustRightInd/>
        <w:snapToGrid/>
        <w:spacing w:before="0" w:beforeLines="0" w:after="0" w:afterLines="0" w:line="240" w:lineRule="auto"/>
        <w:textAlignment w:val="auto"/>
        <w:rPr>
          <w:rFonts w:ascii="Times New Roman" w:hAnsi="Times New Roman" w:cs="方正仿宋_GBK"/>
          <w:kern w:val="2"/>
        </w:rPr>
      </w:pPr>
    </w:p>
    <w:p>
      <w:pPr>
        <w:keepNext w:val="0"/>
        <w:keepLines w:val="0"/>
        <w:pageBreakBefore w:val="0"/>
        <w:kinsoku/>
        <w:wordWrap/>
        <w:overflowPunct w:val="0"/>
        <w:topLinePunct w:val="0"/>
        <w:autoSpaceDE/>
        <w:autoSpaceDN/>
        <w:bidi w:val="0"/>
        <w:adjustRightInd/>
        <w:snapToGrid/>
        <w:spacing w:before="0" w:beforeLines="0" w:after="0" w:afterLines="0" w:line="240" w:lineRule="auto"/>
        <w:textAlignment w:val="auto"/>
        <w:rPr>
          <w:rFonts w:ascii="Times New Roman" w:hAnsi="Times New Roman" w:cs="方正仿宋_GBK"/>
          <w:kern w:val="2"/>
        </w:rPr>
      </w:pPr>
    </w:p>
    <w:p>
      <w:pPr>
        <w:wordWrap/>
        <w:overflowPunct w:val="0"/>
        <w:adjustRightInd/>
        <w:spacing w:line="240" w:lineRule="auto"/>
        <w:ind w:firstLine="0" w:firstLineChars="0"/>
        <w:jc w:val="left"/>
        <w:textAlignment w:val="auto"/>
        <w:rPr>
          <w:rFonts w:hint="default" w:cs="Times New Roman"/>
          <w:color w:val="auto"/>
          <w:sz w:val="28"/>
          <w:szCs w:val="28"/>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0</wp:posOffset>
                </wp:positionV>
                <wp:extent cx="5627370" cy="15240"/>
                <wp:effectExtent l="0" t="4445" r="11430" b="10795"/>
                <wp:wrapNone/>
                <wp:docPr id="7" name="直接连接符 7"/>
                <wp:cNvGraphicFramePr/>
                <a:graphic xmlns:a="http://schemas.openxmlformats.org/drawingml/2006/main">
                  <a:graphicData uri="http://schemas.microsoft.com/office/word/2010/wordprocessingShape">
                    <wps:wsp>
                      <wps:cNvCnPr/>
                      <wps:spPr>
                        <a:xfrm>
                          <a:off x="0" y="0"/>
                          <a:ext cx="5627370" cy="15240"/>
                        </a:xfrm>
                        <a:prstGeom prst="line">
                          <a:avLst/>
                        </a:prstGeom>
                        <a:noFill/>
                        <a:ln w="4445" cap="flat" cmpd="sng" algn="ctr">
                          <a:solidFill>
                            <a:srgbClr val="000000"/>
                          </a:solidFill>
                          <a:prstDash val="solid"/>
                        </a:ln>
                        <a:effectLst/>
                      </wps:spPr>
                      <wps:bodyPr/>
                    </wps:wsp>
                  </a:graphicData>
                </a:graphic>
              </wp:anchor>
            </w:drawing>
          </mc:Choice>
          <mc:Fallback>
            <w:pict>
              <v:line id="_x0000_s1026" o:spid="_x0000_s1026" o:spt="20" style="position:absolute;left:0pt;margin-left:-0.05pt;margin-top:0pt;height:1.2pt;width:443.1pt;z-index:251663360;mso-width-relative:page;mso-height-relative:page;" filled="f" stroked="t" coordsize="21600,21600" o:gfxdata="UEsDBAoAAAAAAIdO4kAAAAAAAAAAAAAAAAAEAAAAZHJzL1BLAwQUAAAACACHTuJAZ2gwB9QAAAAE&#10;AQAADwAAAGRycy9kb3ducmV2LnhtbE2PQUvDQBSE74L/YXmCt3aTUmKIeSki6kWwtIq9vma3STD7&#10;NmS3TfvvfZ7qcZhh5ptydXa9OtkxdJ4R0nkCynLtTccNwtfn6ywHFSKxod6zRbjYAKvq9qakwviJ&#10;N/a0jY2SEg4FIbQxDoXWoW6tozD3g2XxDn50FEWOjTYjTVLuer1Ikkw76lgWWhrsc2vrn+3RIeQ7&#10;mtYv3VO2rJtddvi4PLx9r98R7+/S5BFUtOd4DcMfvqBDJUx7f2QTVI8wSyWIIH/EzPNM5B5hsQRd&#10;lfo/fPULUEsDBBQAAAAIAIdO4kBpp4j94gEAAKwDAAAOAAAAZHJzL2Uyb0RvYy54bWytU82O0zAQ&#10;viPxDpbvNG1ptyhquoetlguCSsADuI6TWPKfZrxN+xK8ABI3OHHkztuwPAZjJ5T9ueyBHJwZz/ib&#10;+T6P15dHa9hBAWrvKj6bTDlTTvpau7biHz9cv3jFGUbhamG8UxU/KeSXm+fP1n0o1dx33tQKGIE4&#10;LPtQ8S7GUBYFyk5ZgRMflKNg48GKSC60RQ2iJ3Rrivl0elH0HuoAXipE2t0OQT4iwlMAfdNoqbZe&#10;3ljl4oAKyohIlLDTAfkmd9s0SsZ3TYMqMlNxYhrzSkXI3qe12KxF2YIInZZjC+IpLTzgZIV2VPQM&#10;tRVRsBvQj6CsluDRN3EivS0GIlkRYjGbPtDmfSeCylxIagxn0fH/wcq3hx0wXVd8xZkTli789vOP&#10;X5++/v75hdbb79/YKonUBywp98rtYPQw7CAxPjZg05+4sGMW9nQWVh0jk7S5vJivXq5Ic0mx2XK+&#10;yMIX/w4HwPhaecuSUXGjXeItSnF4g5EKUurflLTt/LU2Jt+dcayv+GKxWBK6oHlsaA7ItIE4oWs5&#10;E6alQZcRMiJ6o+t0OuEgtPsrA+wg0njkL5GlavfSUumtwG7Iy6ExzbgEo/KgjZ0mpQZtkrX39SlL&#10;ViSPLjGjjwOXpuSuT/bdR7b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doMAfUAAAABAEAAA8A&#10;AAAAAAAAAQAgAAAAIgAAAGRycy9kb3ducmV2LnhtbFBLAQIUABQAAAAIAIdO4kBpp4j94gEAAKwD&#10;AAAOAAAAAAAAAAEAIAAAACMBAABkcnMvZTJvRG9jLnhtbFBLBQYAAAAABgAGAFkBAAB3BQAAAAA=&#10;">
                <v:fill on="f" focussize="0,0"/>
                <v:stroke weight="0.35pt"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367665</wp:posOffset>
                </wp:positionV>
                <wp:extent cx="5627370" cy="15240"/>
                <wp:effectExtent l="0" t="4445" r="11430" b="10795"/>
                <wp:wrapNone/>
                <wp:docPr id="8" name="直接连接符 8"/>
                <wp:cNvGraphicFramePr/>
                <a:graphic xmlns:a="http://schemas.openxmlformats.org/drawingml/2006/main">
                  <a:graphicData uri="http://schemas.microsoft.com/office/word/2010/wordprocessingShape">
                    <wps:wsp>
                      <wps:cNvCnPr/>
                      <wps:spPr>
                        <a:xfrm>
                          <a:off x="972185" y="4633595"/>
                          <a:ext cx="5627370" cy="15240"/>
                        </a:xfrm>
                        <a:prstGeom prst="line">
                          <a:avLst/>
                        </a:prstGeom>
                        <a:noFill/>
                        <a:ln w="4445"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28.95pt;height:1.2pt;width:443.1pt;z-index:251662336;mso-width-relative:page;mso-height-relative:page;" filled="f" stroked="t" coordsize="21600,21600" o:gfxdata="UEsDBAoAAAAAAIdO4kAAAAAAAAAAAAAAAAAEAAAAZHJzL1BLAwQUAAAACACHTuJAvCLxo9cAAAAG&#10;AQAADwAAAGRycy9kb3ducmV2LnhtbE2PzU7DMBCE70i8g7VI3KhdftwQ4lQIARekVpSqvW7jbRIR&#10;21HsNu3bs5zgODujmW+L+cl14khDbIM3MJ0oEOSrYFtfG1h/vd1kIGJCb7ELngycKcK8vLwoMLdh&#10;9J90XKVacImPORpoUupzKWPVkMM4CT159vZhcJhYDrW0A45c7jp5q5SWDlvPCw329NJQ9b06OAPZ&#10;Fsfla/us76t6q/eL8+x9s/ww5vpqqp5AJDqlvzD84jM6lMy0Cwdvo+gMaM4ZeJg9gmA3yzQ/suOz&#10;ugNZFvI/fvkDUEsDBBQAAAAIAIdO4kAExfI97wEAALcDAAAOAAAAZHJzL2Uyb0RvYy54bWytU82O&#10;0zAQviPxDpbvNG3atN2o6R62Wi4IKgEP4DpOYsl/8nib9iV4ASRucOLInbdheQzGTtg/LnsgB2fG&#10;M/lmvm8mm8uTVuQoPEhrKjqbTCkRhttamraiHz9cv1pTAoGZmilrREXPAujl9uWLTe9KkdvOqlp4&#10;giAGyt5VtAvBlVkGvBOawcQ6YTDYWK9ZQNe3We1Zj+haZfl0usx662vnLRcAeLsbgnRE9M8BtE0j&#10;udhZfqOFCQOqF4oFpASddEC3qdumETy8axoQgaiKItOQTiyC9iGe2XbDytYz10k+tsCe08ITTppJ&#10;g0XvoHYsMHLj5T9QWnJvwTZhwq3OBiJJEWQxmz7R5n3HnEhcUGpwd6LD/4Plb497T2RdURy7YRoH&#10;fvv5x69PX3///ILn7fdvZB1F6h2UmHtl9n70wO19ZHxqvI5v5EJOFb1Y5bN1Qcm5oovlfF5cFIPG&#10;4hQIx3ixzFfzFcrPMWNW5Is0g+wex3kIr4XVJBoVVdJECVjJjm8gYG1M/ZsSr429lkqlMSpDeqy6&#10;WGB5znA1G1wJNLVDemBaSphqced58AkRrJJ1/DrigG8PV8qTI4ubkp7YOFZ7lBZL7xh0Q14KjWnK&#10;RBiRdm7sNIo2yBStg63PSb0sejjPhD7uXlyYhz7aD/+37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8IvGj1wAAAAYBAAAPAAAAAAAAAAEAIAAAACIAAABkcnMvZG93bnJldi54bWxQSwECFAAUAAAA&#10;CACHTuJABMXyPe8BAAC3AwAADgAAAAAAAAABACAAAAAmAQAAZHJzL2Uyb0RvYy54bWxQSwUGAAAA&#10;AAYABgBZAQAAhwUAAAAA&#10;">
                <v:fill on="f" focussize="0,0"/>
                <v:stroke weight="0.35pt" color="#000000" joinstyle="round"/>
                <v:imagedata o:title=""/>
                <o:lock v:ext="edit" aspectratio="f"/>
              </v:line>
            </w:pict>
          </mc:Fallback>
        </mc:AlternateContent>
      </w:r>
      <w:r>
        <w:rPr>
          <w:rFonts w:hint="default" w:ascii="Times New Roman" w:hAnsi="Times New Roman" w:eastAsia="方正仿宋_GBK" w:cs="Times New Roman"/>
          <w:sz w:val="28"/>
          <w:szCs w:val="28"/>
          <w:lang w:val="en-US" w:eastAsia="zh-CN"/>
        </w:rPr>
        <w:t xml:space="preserve">  重庆市发展和改革委员会办公室   </w:t>
      </w:r>
      <w:r>
        <w:rPr>
          <w:rFonts w:hint="eastAsia" w:ascii="Times New Roman" w:hAnsi="Times New Roman" w:eastAsia="方正仿宋_GBK" w:cs="Times New Roman"/>
          <w:sz w:val="28"/>
          <w:szCs w:val="28"/>
          <w:lang w:val="en-US" w:eastAsia="zh-CN"/>
        </w:rPr>
        <w:t xml:space="preserve">   </w:t>
      </w:r>
      <w:r>
        <w:rPr>
          <w:rFonts w:hint="eastAsia" w:ascii="Times New Roman" w:hAnsi="Times New Roman"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202</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lang w:val="en-US" w:eastAsia="zh-CN"/>
        </w:rPr>
        <w:t>年</w:t>
      </w:r>
      <w:r>
        <w:rPr>
          <w:rFonts w:hint="eastAsia" w:ascii="Times New Roman" w:hAnsi="Times New Roman" w:cs="Times New Roman"/>
          <w:sz w:val="28"/>
          <w:szCs w:val="28"/>
          <w:lang w:val="en-US" w:eastAsia="zh-CN"/>
        </w:rPr>
        <w:t>11</w:t>
      </w:r>
      <w:r>
        <w:rPr>
          <w:rFonts w:hint="default" w:ascii="Times New Roman" w:hAnsi="Times New Roman" w:eastAsia="方正仿宋_GBK" w:cs="Times New Roman"/>
          <w:sz w:val="28"/>
          <w:szCs w:val="28"/>
          <w:lang w:val="en-US" w:eastAsia="zh-CN"/>
        </w:rPr>
        <w:t>月</w:t>
      </w:r>
      <w:r>
        <w:rPr>
          <w:rFonts w:hint="eastAsia" w:ascii="Times New Roman" w:hAnsi="Times New Roman" w:cs="Times New Roman"/>
          <w:sz w:val="28"/>
          <w:szCs w:val="28"/>
          <w:lang w:val="en-US" w:eastAsia="zh-CN"/>
        </w:rPr>
        <w:t>7</w:t>
      </w:r>
      <w:r>
        <w:rPr>
          <w:rFonts w:hint="default" w:ascii="Times New Roman" w:hAnsi="Times New Roman" w:eastAsia="方正仿宋_GBK" w:cs="Times New Roman"/>
          <w:sz w:val="28"/>
          <w:szCs w:val="28"/>
          <w:lang w:val="en-US" w:eastAsia="zh-CN"/>
        </w:rPr>
        <w:t xml:space="preserve">日印发  </w:t>
      </w:r>
    </w:p>
    <w:sectPr>
      <w:pgSz w:w="11906" w:h="16838"/>
      <w:pgMar w:top="2098" w:right="1531" w:bottom="1984" w:left="1531" w:header="851" w:footer="1417" w:gutter="0"/>
      <w:pgNumType w:fmt="decimal"/>
      <w:cols w:space="0" w:num="1"/>
      <w:rtlGutter w:val="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96" w:leftChars="2280" w:firstLine="6400" w:firstLineChars="200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- 1 -</w:t>
                          </w:r>
                          <w:r>
                            <w:rPr>
                              <w:rFonts w:hint="default"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pkFck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4ESxy0O/Pz92/nHr/PPr+R1&#10;lqcPUGPWY8C8NLz1Q06d/IDOzHpQ0eYv8iEYR3FPF3HlkIjIj1bL1arCkMDYfEEc9vQ8REgP0luS&#10;jYZGnF4RlR/fQxpT55Rczfl7bQz6eW3cXw7EzB6Wex97zFYadsPU+M63J+TT4+Ab6nDPKTHvHOqa&#10;d2Q24mzsZuMQot53ZYlyPQh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imQV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- 1 -</w:t>
                    </w:r>
                    <w:r>
                      <w:rPr>
                        <w:rFonts w:hint="default"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r>
      <w:rPr>
        <w:rFonts w:hint="eastAsia" w:eastAsia="仿宋"/>
        <w:sz w:val="32"/>
        <w:szCs w:val="48"/>
      </w:rPr>
      <w:t xml:space="preserve">  </w:t>
    </w:r>
  </w:p>
  <w:p>
    <w:pPr>
      <w:pStyle w:val="9"/>
      <w:jc w:val="right"/>
      <w:rPr>
        <w:rFonts w:hint="eastAsia"/>
        <w:color w:val="FAFAFA"/>
        <w:sz w:val="28"/>
        <w:szCs w:val="28"/>
      </w:rPr>
    </w:pPr>
    <w:r>
      <w:rPr>
        <w:color w:val="FAFAFA"/>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color w:val="FAFAFA"/>
        <w:sz w:val="28"/>
        <w:szCs w:val="28"/>
      </w:rPr>
      <w:t xml:space="preserve"> </w:t>
    </w:r>
  </w:p>
  <w:p>
    <w:pPr>
      <w:pStyle w:val="9"/>
      <w:ind w:firstLine="4498" w:firstLineChars="1600"/>
      <w:jc w:val="both"/>
    </w:pPr>
    <w:r>
      <w:rPr>
        <w:rFonts w:hint="eastAsia" w:ascii="宋体" w:hAnsi="宋体" w:eastAsia="宋体" w:cs="宋体"/>
        <w:b/>
        <w:bCs/>
        <w:color w:val="005192"/>
        <w:sz w:val="28"/>
        <w:szCs w:val="44"/>
      </w:rPr>
      <w:t xml:space="preserve">重庆市发展和改革委员会发布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adjustRightInd/>
      <w:jc w:val="both"/>
      <w:textAlignment w:val="center"/>
      <w:rPr>
        <w:rFonts w:hint="eastAsia" w:ascii="方正仿宋_GBK" w:hAnsi="方正仿宋_GBK" w:cs="方正仿宋_GBK"/>
        <w:b/>
        <w:bCs/>
        <w:color w:val="000000"/>
        <w:sz w:val="32"/>
      </w:rPr>
    </w:pPr>
    <w:r>
      <w:rPr>
        <w:rFonts w:hint="eastAsia" w:ascii="方正仿宋_GBK" w:hAnsi="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3175" b="1206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pPr>
      <w:pStyle w:val="10"/>
      <w:adjustRightInd/>
      <w:jc w:val="both"/>
      <w:textAlignment w:val="center"/>
    </w:pPr>
    <w:r>
      <w:rPr>
        <w:rFonts w:hint="eastAsia" w:ascii="宋体" w:hAnsi="宋体" w:eastAsia="宋体" w:cs="宋体"/>
        <w:b/>
        <w:bCs/>
        <w:color w:val="005192"/>
        <w:sz w:val="32"/>
      </w:rPr>
      <w:drawing>
        <wp:inline distT="0" distB="0" distL="114300" distR="114300">
          <wp:extent cx="308610" cy="308610"/>
          <wp:effectExtent l="0" t="0" r="11430" b="11430"/>
          <wp:docPr id="2"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发展和改革委员会</w:t>
    </w:r>
    <w:r>
      <w:rPr>
        <w:rFonts w:hint="eastAsia" w:ascii="宋体" w:hAnsi="宋体" w:eastAsia="宋体" w:cs="宋体"/>
        <w:b/>
        <w:bCs/>
        <w:color w:val="005192"/>
        <w:sz w:val="32"/>
        <w:lang w:eastAsia="zh-Hans"/>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MjI0Mzc2ZjIyZjY1YWY5MGM1NmE2ZGQxZTliNWMifQ=="/>
  </w:docVars>
  <w:rsids>
    <w:rsidRoot w:val="00172A27"/>
    <w:rsid w:val="006004F6"/>
    <w:rsid w:val="00FF28FF"/>
    <w:rsid w:val="01136F74"/>
    <w:rsid w:val="019E71BD"/>
    <w:rsid w:val="01C066B5"/>
    <w:rsid w:val="03D04E6B"/>
    <w:rsid w:val="041C42DA"/>
    <w:rsid w:val="04B679C3"/>
    <w:rsid w:val="05F07036"/>
    <w:rsid w:val="064E7294"/>
    <w:rsid w:val="06E00104"/>
    <w:rsid w:val="07AC7F00"/>
    <w:rsid w:val="080F63D8"/>
    <w:rsid w:val="09341458"/>
    <w:rsid w:val="098254C2"/>
    <w:rsid w:val="0A766EDE"/>
    <w:rsid w:val="0AD64BE8"/>
    <w:rsid w:val="0B0912D7"/>
    <w:rsid w:val="0B7C7A64"/>
    <w:rsid w:val="0CBFD8C2"/>
    <w:rsid w:val="0D6E5E17"/>
    <w:rsid w:val="0DA472A8"/>
    <w:rsid w:val="0E025194"/>
    <w:rsid w:val="0E6D4BB0"/>
    <w:rsid w:val="152D2DCA"/>
    <w:rsid w:val="15D5325E"/>
    <w:rsid w:val="17130662"/>
    <w:rsid w:val="185E7C41"/>
    <w:rsid w:val="187168EA"/>
    <w:rsid w:val="196673CA"/>
    <w:rsid w:val="1B2F4AEE"/>
    <w:rsid w:val="1CF734C9"/>
    <w:rsid w:val="1D9C3275"/>
    <w:rsid w:val="1DEC284C"/>
    <w:rsid w:val="1E1D39B2"/>
    <w:rsid w:val="1E6523AC"/>
    <w:rsid w:val="213B01C6"/>
    <w:rsid w:val="22440422"/>
    <w:rsid w:val="22BB4BBB"/>
    <w:rsid w:val="22C27ADF"/>
    <w:rsid w:val="25C81124"/>
    <w:rsid w:val="25DE7970"/>
    <w:rsid w:val="2AD947D6"/>
    <w:rsid w:val="2AEB3417"/>
    <w:rsid w:val="2CC20647"/>
    <w:rsid w:val="2D502E74"/>
    <w:rsid w:val="2DCC28F7"/>
    <w:rsid w:val="2F541F27"/>
    <w:rsid w:val="31A15F24"/>
    <w:rsid w:val="324A1681"/>
    <w:rsid w:val="33497ED9"/>
    <w:rsid w:val="34F12209"/>
    <w:rsid w:val="34FD541C"/>
    <w:rsid w:val="36FB1DF0"/>
    <w:rsid w:val="395347B5"/>
    <w:rsid w:val="39A232A0"/>
    <w:rsid w:val="39E745AA"/>
    <w:rsid w:val="3B5A6BBB"/>
    <w:rsid w:val="3CE14061"/>
    <w:rsid w:val="3D437488"/>
    <w:rsid w:val="3D6A2620"/>
    <w:rsid w:val="3E2E249C"/>
    <w:rsid w:val="3EB6345B"/>
    <w:rsid w:val="3EDA13A6"/>
    <w:rsid w:val="3FB905B7"/>
    <w:rsid w:val="417B75E9"/>
    <w:rsid w:val="42F058B7"/>
    <w:rsid w:val="436109F6"/>
    <w:rsid w:val="441A38D4"/>
    <w:rsid w:val="4504239D"/>
    <w:rsid w:val="4641064B"/>
    <w:rsid w:val="4AD86038"/>
    <w:rsid w:val="4BC77339"/>
    <w:rsid w:val="4BF22B1F"/>
    <w:rsid w:val="4C5C0629"/>
    <w:rsid w:val="4C9236C5"/>
    <w:rsid w:val="4E250A85"/>
    <w:rsid w:val="4E464D75"/>
    <w:rsid w:val="4E897B30"/>
    <w:rsid w:val="4F551E0D"/>
    <w:rsid w:val="4FFD4925"/>
    <w:rsid w:val="505C172E"/>
    <w:rsid w:val="506405EA"/>
    <w:rsid w:val="50977DB8"/>
    <w:rsid w:val="52851315"/>
    <w:rsid w:val="52F46F0B"/>
    <w:rsid w:val="532B6A10"/>
    <w:rsid w:val="53D8014D"/>
    <w:rsid w:val="55003B4B"/>
    <w:rsid w:val="55B27C89"/>
    <w:rsid w:val="55E064E0"/>
    <w:rsid w:val="572C6D10"/>
    <w:rsid w:val="57732A03"/>
    <w:rsid w:val="579F129B"/>
    <w:rsid w:val="57D439E1"/>
    <w:rsid w:val="5A4061C0"/>
    <w:rsid w:val="5D7E310A"/>
    <w:rsid w:val="5DC34279"/>
    <w:rsid w:val="5E8A52F7"/>
    <w:rsid w:val="5FCD688E"/>
    <w:rsid w:val="5FF9BDAA"/>
    <w:rsid w:val="5FFE5333"/>
    <w:rsid w:val="608816D1"/>
    <w:rsid w:val="60EF4E7F"/>
    <w:rsid w:val="625E6C7A"/>
    <w:rsid w:val="64396CAA"/>
    <w:rsid w:val="646A6756"/>
    <w:rsid w:val="648B0A32"/>
    <w:rsid w:val="652548C2"/>
    <w:rsid w:val="665233C1"/>
    <w:rsid w:val="697D229E"/>
    <w:rsid w:val="69AC0D42"/>
    <w:rsid w:val="6A817394"/>
    <w:rsid w:val="6AD9688B"/>
    <w:rsid w:val="6BC66237"/>
    <w:rsid w:val="6D0E3F22"/>
    <w:rsid w:val="6FB976D1"/>
    <w:rsid w:val="744E4660"/>
    <w:rsid w:val="74776C27"/>
    <w:rsid w:val="753355A2"/>
    <w:rsid w:val="759F1C61"/>
    <w:rsid w:val="769F2DE8"/>
    <w:rsid w:val="76BB5E0F"/>
    <w:rsid w:val="76FDEB7C"/>
    <w:rsid w:val="78C963B8"/>
    <w:rsid w:val="79B25E17"/>
    <w:rsid w:val="79C65162"/>
    <w:rsid w:val="7C9011D9"/>
    <w:rsid w:val="7CA72C41"/>
    <w:rsid w:val="7DC651C5"/>
    <w:rsid w:val="7DF350ED"/>
    <w:rsid w:val="7F9DA0E8"/>
    <w:rsid w:val="7FCC2834"/>
    <w:rsid w:val="7FF6A4EF"/>
    <w:rsid w:val="92DD1CEF"/>
    <w:rsid w:val="BFAF3834"/>
    <w:rsid w:val="D0FE3B33"/>
    <w:rsid w:val="DFFBE4B2"/>
    <w:rsid w:val="EAF1EDB8"/>
    <w:rsid w:val="EFE7A7D2"/>
    <w:rsid w:val="F05B4F69"/>
    <w:rsid w:val="F97D9566"/>
    <w:rsid w:val="FDFF411C"/>
    <w:rsid w:val="FEFF89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3">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TableOfAuthoring"/>
    <w:basedOn w:val="1"/>
    <w:next w:val="1"/>
    <w:qFormat/>
    <w:uiPriority w:val="0"/>
    <w:pPr>
      <w:adjustRightInd/>
      <w:spacing w:after="160" w:line="240" w:lineRule="auto"/>
      <w:ind w:left="420" w:leftChars="200"/>
      <w:textAlignment w:val="auto"/>
    </w:pPr>
    <w:rPr>
      <w:rFonts w:eastAsia="宋体"/>
      <w:kern w:val="2"/>
      <w:sz w:val="21"/>
      <w:szCs w:val="24"/>
    </w:rPr>
  </w:style>
  <w:style w:type="paragraph" w:styleId="4">
    <w:name w:val="annotation text"/>
    <w:basedOn w:val="1"/>
    <w:qFormat/>
    <w:uiPriority w:val="0"/>
    <w:pPr>
      <w:jc w:val="left"/>
    </w:pPr>
  </w:style>
  <w:style w:type="paragraph" w:styleId="5">
    <w:name w:val="Body Text"/>
    <w:basedOn w:val="1"/>
    <w:next w:val="6"/>
    <w:qFormat/>
    <w:uiPriority w:val="0"/>
    <w:pPr>
      <w:spacing w:afterLines="0" w:afterAutospacing="0"/>
    </w:pPr>
  </w:style>
  <w:style w:type="paragraph" w:styleId="6">
    <w:name w:val="Body Text 2"/>
    <w:basedOn w:val="1"/>
    <w:qFormat/>
    <w:uiPriority w:val="0"/>
    <w:pPr>
      <w:adjustRightInd/>
      <w:spacing w:before="60" w:after="60" w:line="240" w:lineRule="auto"/>
      <w:textAlignment w:val="auto"/>
    </w:pPr>
    <w:rPr>
      <w:rFonts w:ascii="Arial" w:hAnsi="Arial" w:eastAsia="仿宋_GB2312"/>
      <w:spacing w:val="-5"/>
      <w:kern w:val="2"/>
      <w:lang w:val="zh-CN" w:eastAsia="en-US"/>
    </w:rPr>
  </w:style>
  <w:style w:type="paragraph" w:styleId="7">
    <w:name w:val="Body Text Indent"/>
    <w:basedOn w:val="1"/>
    <w:qFormat/>
    <w:uiPriority w:val="0"/>
    <w:pPr>
      <w:spacing w:after="120"/>
      <w:ind w:left="420" w:leftChars="200"/>
    </w:pPr>
  </w:style>
  <w:style w:type="paragraph" w:styleId="8">
    <w:name w:val="Balloon Text"/>
    <w:basedOn w:val="1"/>
    <w:link w:val="24"/>
    <w:qFormat/>
    <w:uiPriority w:val="0"/>
    <w:pPr>
      <w:spacing w:line="240" w:lineRule="auto"/>
    </w:pPr>
    <w:rPr>
      <w:sz w:val="18"/>
      <w:szCs w:val="18"/>
    </w:rPr>
  </w:style>
  <w:style w:type="paragraph" w:styleId="9">
    <w:name w:val="footer"/>
    <w:basedOn w:val="1"/>
    <w:next w:val="5"/>
    <w:qFormat/>
    <w:uiPriority w:val="0"/>
    <w:pPr>
      <w:tabs>
        <w:tab w:val="center" w:pos="4153"/>
        <w:tab w:val="right" w:pos="8306"/>
      </w:tabs>
      <w:snapToGrid w:val="0"/>
      <w:jc w:val="left"/>
    </w:pPr>
    <w:rPr>
      <w:sz w:val="18"/>
    </w:rPr>
  </w:style>
  <w:style w:type="paragraph" w:styleId="10">
    <w:name w:val="header"/>
    <w:basedOn w:val="1"/>
    <w:next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qFormat/>
    <w:uiPriority w:val="0"/>
    <w:pPr>
      <w:ind w:firstLine="420" w:firstLineChars="100"/>
    </w:pPr>
  </w:style>
  <w:style w:type="paragraph" w:styleId="13">
    <w:name w:val="Body Text First Indent 2"/>
    <w:basedOn w:val="7"/>
    <w:next w:val="12"/>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page number"/>
    <w:basedOn w:val="16"/>
    <w:qFormat/>
    <w:uiPriority w:val="0"/>
  </w:style>
  <w:style w:type="paragraph" w:customStyle="1" w:styleId="19">
    <w:name w:val="正文首缩两字 Char"/>
    <w:basedOn w:val="1"/>
    <w:qFormat/>
    <w:uiPriority w:val="99"/>
    <w:rPr>
      <w:rFonts w:ascii="Verdana" w:hAnsi="Verdana"/>
      <w:bCs/>
    </w:rPr>
  </w:style>
  <w:style w:type="paragraph" w:customStyle="1" w:styleId="20">
    <w:name w:val="方正仿宋"/>
    <w:basedOn w:val="1"/>
    <w:qFormat/>
    <w:uiPriority w:val="0"/>
    <w:pPr>
      <w:adjustRightInd/>
      <w:spacing w:line="240" w:lineRule="auto"/>
      <w:ind w:firstLine="620" w:firstLineChars="200"/>
    </w:pPr>
  </w:style>
  <w:style w:type="paragraph" w:customStyle="1" w:styleId="21">
    <w:name w:val="默认"/>
    <w:qFormat/>
    <w:uiPriority w:val="0"/>
    <w:pPr>
      <w:spacing w:after="160" w:line="259" w:lineRule="auto"/>
    </w:pPr>
    <w:rPr>
      <w:rFonts w:ascii="Helvetica" w:hAnsi="Helvetica" w:eastAsia="宋体" w:cs="Helvetica"/>
      <w:color w:val="000000"/>
      <w:sz w:val="22"/>
      <w:szCs w:val="22"/>
      <w:lang w:val="en-US" w:eastAsia="zh-CN" w:bidi="ar-SA"/>
    </w:rPr>
  </w:style>
  <w:style w:type="paragraph" w:customStyle="1" w:styleId="22">
    <w:name w:val="Body text|1"/>
    <w:basedOn w:val="1"/>
    <w:qFormat/>
    <w:uiPriority w:val="0"/>
    <w:pPr>
      <w:spacing w:line="410" w:lineRule="auto"/>
      <w:ind w:firstLine="400"/>
    </w:pPr>
    <w:rPr>
      <w:rFonts w:ascii="宋体" w:hAnsi="宋体" w:eastAsia="宋体" w:cs="宋体"/>
      <w:sz w:val="30"/>
      <w:szCs w:val="30"/>
      <w:lang w:val="zh-TW" w:eastAsia="zh-TW" w:bidi="zh-TW"/>
    </w:rPr>
  </w:style>
  <w:style w:type="paragraph" w:customStyle="1" w:styleId="23">
    <w:name w:val="p0"/>
    <w:basedOn w:val="1"/>
    <w:qFormat/>
    <w:uiPriority w:val="0"/>
    <w:pPr>
      <w:widowControl/>
    </w:pPr>
    <w:rPr>
      <w:rFonts w:ascii="Calibri" w:hAnsi="Calibri" w:eastAsia="宋体" w:cs="宋体"/>
      <w:kern w:val="0"/>
      <w:szCs w:val="32"/>
    </w:rPr>
  </w:style>
  <w:style w:type="character" w:customStyle="1" w:styleId="24">
    <w:name w:val="批注框文本 Char"/>
    <w:basedOn w:val="16"/>
    <w:link w:val="8"/>
    <w:qFormat/>
    <w:uiPriority w:val="0"/>
    <w:rPr>
      <w:rFonts w:eastAsia="方正仿宋_GBK"/>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627</Words>
  <Characters>3574</Characters>
  <Lines>29</Lines>
  <Paragraphs>8</Paragraphs>
  <TotalTime>0</TotalTime>
  <ScaleCrop>false</ScaleCrop>
  <LinksUpToDate>false</LinksUpToDate>
  <CharactersWithSpaces>4193</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王宗瑄</cp:lastModifiedBy>
  <cp:lastPrinted>2022-05-13T00:46:00Z</cp:lastPrinted>
  <dcterms:modified xsi:type="dcterms:W3CDTF">2025-11-07T10:10:55Z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3DADD6451B55480BA1C738C464736D7D</vt:lpwstr>
  </property>
</Properties>
</file>