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6A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/>
        </w:rPr>
        <w:t xml:space="preserve">2 </w:t>
      </w:r>
    </w:p>
    <w:p w14:paraId="0E7052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/>
        </w:rPr>
        <w:t xml:space="preserve">    </w:t>
      </w:r>
    </w:p>
    <w:p w14:paraId="0F4665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贵州省社会保障卡发行及应用工作</w:t>
      </w:r>
    </w:p>
    <w:p w14:paraId="7E6282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负面清单</w:t>
      </w:r>
    </w:p>
    <w:p w14:paraId="0120AC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6F28C9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为规范贵州省社会保障卡（以下简称“社保卡”）发行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工作，维护公平有序的市场竞争环境，切实保障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合法权益，特别是在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发放等关键环节确保资金安全、高效流转，特制定本负面清单。本清单明确禁止合作银行在社保卡发行及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发放过程中的不当行为，并对违规行为制定相应惩戒措施。</w:t>
      </w:r>
    </w:p>
    <w:p w14:paraId="400D56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一、禁止行为</w:t>
      </w:r>
    </w:p>
    <w:p w14:paraId="2CFE07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（一）利益诱导</w:t>
      </w:r>
    </w:p>
    <w:p w14:paraId="10A5A96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合作银行不得通过电话营销或提供现金、礼品、购物卡、旅游机会等与社保卡业务本身并无直接关联利益，诱导和误导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选择本行作为社保卡发卡银行。</w:t>
      </w:r>
    </w:p>
    <w:p w14:paraId="6E3132D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（二）降低服务标准</w:t>
      </w:r>
    </w:p>
    <w:p w14:paraId="390B63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银行不得擅自削减与社保卡发行、使用相关的必要服务项目，严禁以降低服务质量、减少工作人员业务能力培训投入、降低自助设备维护频率等方式压缩成本，同时不得简化社保卡激活流程中的必要安全验证环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业务经办要求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将未打印卡面加载社保功能的社保卡发放给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申领人。</w:t>
      </w:r>
    </w:p>
    <w:p w14:paraId="263477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（三）虚假宣传</w:t>
      </w:r>
    </w:p>
    <w:p w14:paraId="6F11CE2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合作银行在宣传社保卡业务时，不得对社保卡功能、使用范围、优惠政策等进行虚假夸大宣传，误导群众。不得使用模糊、容易引起歧义的语言进行宣传，使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对社保卡业务产生错误理解。</w:t>
      </w:r>
    </w:p>
    <w:p w14:paraId="630211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（四）恶意诋毁</w:t>
      </w:r>
    </w:p>
    <w:p w14:paraId="415D77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合作银行不得通过任何渠道，包括不限于线上平台、线下网点、宣传资料、与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沟通等方式，恶意诋毁其他合作银行在社保卡发行和服务方面的声誉，破坏市场竞争的公平性。</w:t>
      </w:r>
    </w:p>
    <w:p w14:paraId="5DA897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（五）违规组织批量换卡</w:t>
      </w:r>
    </w:p>
    <w:p w14:paraId="4D2BFF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合作银行未经许可，不得针对社保卡未发生自然损毁的群众，组织开展大规模批量换制社保卡的工作，应坚持个人自主自愿原则，理性规范宣传。</w:t>
      </w:r>
    </w:p>
    <w:p w14:paraId="4DD364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违反安全管理规定</w:t>
      </w:r>
    </w:p>
    <w:p w14:paraId="1E8CBC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不得将密钥载体随意移交给第三方，确需移交时，须做好交接记录，签署保密协议，审核安全管理方案，并对第三方使用情况进行监督。</w:t>
      </w:r>
    </w:p>
    <w:p w14:paraId="640AD8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合作银行应对相关信息严格履行保密义务，未经授权，严禁泄露或扩大合作范围，不得向任何第三方单位或个人提供数据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应妥善保管持卡人员提供的各种材料，禁止通过互联网发送、存储、备份、共享用户个人数据。</w:t>
      </w:r>
    </w:p>
    <w:p w14:paraId="7520EFE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（七）惠民惠农补贴发放相关违规行为</w:t>
      </w:r>
    </w:p>
    <w:p w14:paraId="0D979FA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宣传虚假政策以误导换卡，例如编造“持有本行社保卡方可享受惠农惠民政策”等不实信息，确保政策宣传的真实性与合规性，避免误导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作出非必要换卡行为。</w:t>
      </w:r>
    </w:p>
    <w:p w14:paraId="40AE9E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向惠民惠农补贴对象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违规收取费用，包括但不限于手续费、管理费等，增加群众负担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，严格按照“部门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+项目+金额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”三要素向补贴对象发送补贴发放信息。</w:t>
      </w:r>
    </w:p>
    <w:p w14:paraId="60A72D3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严禁设置不合理门槛，阻碍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正常领取资金。</w:t>
      </w:r>
    </w:p>
    <w:p w14:paraId="34172F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二、惩戒措施</w:t>
      </w:r>
    </w:p>
    <w:p w14:paraId="2600F0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（一）约谈整改</w:t>
      </w:r>
    </w:p>
    <w:p w14:paraId="1258FF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一旦发现合作银行存在违反负面清单的行为，将对涉事合作银行进行约谈。要求其说明违规行为发生的原因、经过，并责令其在规定时间内提交详细的整改方案。</w:t>
      </w:r>
    </w:p>
    <w:p w14:paraId="64E807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涉事银行需按照整改方案认真落实整改措施，在整改期间定期向相关部门汇报整改工作进展情况。相关部门将对整改情况进行跟踪检查，确保整改措施有效执行。</w:t>
      </w:r>
    </w:p>
    <w:p w14:paraId="010B10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（二）暂停发卡</w:t>
      </w:r>
    </w:p>
    <w:p w14:paraId="6232C4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对于情节较为严重、多次违反负面清单规定或经约谈整改后仍未有效改善的合作银行，将视情况暂停其社保卡发卡业务。暂停期限根据违规情节严重程度确定，最短为1个月，最长不超过1年。</w:t>
      </w:r>
    </w:p>
    <w:p w14:paraId="701EC7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在暂停发卡期间，涉事银行不得开展新的社保卡发行工作，但需继续做好已发卡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的后续服务工作，尤其是保障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正常发放。待暂停期满，经评估合格后，方可恢复发卡业务。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若评估后发现仍未完成整改或整改不符合要求，将依法依规终止签订的社保卡发行合作协议。</w:t>
      </w:r>
    </w:p>
    <w:p w14:paraId="507654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（三）其他惩戒</w:t>
      </w:r>
    </w:p>
    <w:p w14:paraId="4A031F5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除上述惩戒措施外，将根据具体违规情况，对涉事合作银行采取通报批评、扣减绩效考核分数、限制参与部分社保卡业务等惩戒措施。对于在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发放中存在严重违规行为的合作银行，可额外采取暂停其参与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发放业务资格，并向省财政厅通报，以督促合作银行严格遵守社保卡发行及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发放相关规定，维护市场秩序和群众利益。</w:t>
      </w:r>
    </w:p>
    <w:p w14:paraId="391309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三、生效与监督</w:t>
      </w:r>
    </w:p>
    <w:p w14:paraId="4E8E37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本负面清单自发布之日起生效，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将加强对社保卡发行及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惠民惠农补贴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发放工作的监督管理，确保各合作银行依法依规开展业务，为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提供优质、高效、公平的服务。</w:t>
      </w:r>
    </w:p>
    <w:p w14:paraId="5AEBD2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17AB"/>
    <w:rsid w:val="6A3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2025-12-24T09:34:00Z</dcterms:created>
  <dc:creator>R.</dc:creator>
  <cp:lastModifiedBy>R.</cp:lastModifiedBy>
  <dcterms:modified xsi:type="dcterms:W3CDTF">2025-12-24T09:36:30Z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972573555F2D420E89015E831A93E3CB_11</vt:lpwstr>
  </property>
  <property fmtid="{D5CDD505-2E9C-101B-9397-08002B2CF9AE}" pid="4" name="KSOTemplateDocerSaveRecord">
    <vt:lpwstr>eyJoZGlkIjoiN2FlMGQ5OTJhMjg0MDExY2M3MTQ4YjRhMmY0NmNlNmQiLCJ1c2VySWQiOiI2NTc2NjM0NTUifQ==</vt:lpwstr>
  </property>
</Properties>
</file>