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3C" w:rsidRDefault="0059773C">
      <w:pPr>
        <w:spacing w:line="578" w:lineRule="exact"/>
        <w:rPr>
          <w:rFonts w:eastAsia="仿宋_GB2312"/>
          <w:b/>
          <w:color w:val="000000"/>
          <w:sz w:val="44"/>
          <w:szCs w:val="44"/>
        </w:rPr>
      </w:pPr>
      <w:bookmarkStart w:id="0" w:name="_GoBack"/>
      <w:bookmarkEnd w:id="0"/>
    </w:p>
    <w:p w:rsidR="0059773C" w:rsidRDefault="0059773C">
      <w:pPr>
        <w:spacing w:line="560" w:lineRule="exact"/>
        <w:rPr>
          <w:rFonts w:eastAsia="仿宋_GB2312"/>
          <w:b/>
          <w:color w:val="000000"/>
          <w:sz w:val="44"/>
          <w:szCs w:val="44"/>
        </w:rPr>
      </w:pPr>
    </w:p>
    <w:p w:rsidR="0059773C" w:rsidRDefault="00B8713F">
      <w:pPr>
        <w:jc w:val="center"/>
        <w:rPr>
          <w:rFonts w:eastAsia="仿宋_GB2312"/>
          <w:color w:val="000000"/>
          <w:sz w:val="32"/>
          <w:szCs w:val="32"/>
        </w:rPr>
      </w:pPr>
      <w:r>
        <w:rPr>
          <w:rFonts w:eastAsia="仿宋_GB2312"/>
          <w:color w:val="000000"/>
          <w:sz w:val="32"/>
          <w:szCs w:val="32"/>
        </w:rPr>
        <w:t>津医保</w:t>
      </w:r>
      <w:r>
        <w:rPr>
          <w:rFonts w:eastAsia="仿宋_GB2312" w:hint="eastAsia"/>
          <w:color w:val="000000"/>
          <w:sz w:val="32"/>
          <w:szCs w:val="32"/>
        </w:rPr>
        <w:t>规字</w:t>
      </w:r>
      <w:r>
        <w:rPr>
          <w:rFonts w:eastAsia="仿宋_GB2312"/>
          <w:color w:val="000000"/>
          <w:sz w:val="32"/>
          <w:szCs w:val="32"/>
        </w:rPr>
        <w:t>〔</w:t>
      </w:r>
      <w:r>
        <w:rPr>
          <w:rFonts w:eastAsia="仿宋_GB2312"/>
          <w:color w:val="000000"/>
          <w:sz w:val="32"/>
          <w:szCs w:val="32"/>
        </w:rPr>
        <w:t>20</w:t>
      </w:r>
      <w:r>
        <w:rPr>
          <w:rFonts w:eastAsia="仿宋_GB2312" w:hint="eastAsia"/>
          <w:color w:val="000000"/>
          <w:sz w:val="32"/>
          <w:szCs w:val="32"/>
        </w:rPr>
        <w:t>2</w:t>
      </w:r>
      <w:r>
        <w:rPr>
          <w:rFonts w:eastAsia="仿宋_GB2312"/>
          <w:color w:val="000000"/>
          <w:sz w:val="32"/>
          <w:szCs w:val="32"/>
        </w:rPr>
        <w:t>5</w:t>
      </w:r>
      <w:r>
        <w:rPr>
          <w:rFonts w:eastAsia="仿宋_GB2312"/>
          <w:color w:val="000000"/>
          <w:sz w:val="32"/>
          <w:szCs w:val="32"/>
        </w:rPr>
        <w:t>〕</w:t>
      </w:r>
      <w:r>
        <w:rPr>
          <w:rFonts w:eastAsia="仿宋_GB2312" w:hint="eastAsia"/>
          <w:color w:val="000000"/>
          <w:sz w:val="32"/>
          <w:szCs w:val="32"/>
        </w:rPr>
        <w:t>3</w:t>
      </w:r>
      <w:r>
        <w:rPr>
          <w:rFonts w:eastAsia="仿宋_GB2312"/>
          <w:color w:val="000000"/>
          <w:sz w:val="32"/>
          <w:szCs w:val="32"/>
        </w:rPr>
        <w:t>号</w:t>
      </w:r>
    </w:p>
    <w:p w:rsidR="0059773C" w:rsidRDefault="00B8713F">
      <w:pPr>
        <w:spacing w:line="578" w:lineRule="exact"/>
      </w:pPr>
      <w:r>
        <w:rPr>
          <w:rFonts w:eastAsia="文星简小标宋"/>
          <w:bCs/>
          <w:noProof/>
          <w:sz w:val="44"/>
          <w:szCs w:val="44"/>
        </w:rPr>
        <mc:AlternateContent>
          <mc:Choice Requires="wps">
            <w:drawing>
              <wp:anchor distT="0" distB="0" distL="114300" distR="114300" simplePos="0" relativeHeight="251697152" behindDoc="0" locked="0" layoutInCell="1" allowOverlap="1">
                <wp:simplePos x="0" y="0"/>
                <wp:positionH relativeFrom="column">
                  <wp:posOffset>-75565</wp:posOffset>
                </wp:positionH>
                <wp:positionV relativeFrom="paragraph">
                  <wp:posOffset>55245</wp:posOffset>
                </wp:positionV>
                <wp:extent cx="5756275" cy="0"/>
                <wp:effectExtent l="0" t="0" r="0" b="0"/>
                <wp:wrapNone/>
                <wp:docPr id="1" name="直线 33"/>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181425DB" id="直线 33"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5.95pt,4.35pt" to="44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" strokecolor="red" strokeweight="2.25pt"/>
            </w:pict>
          </mc:Fallback>
        </mc:AlternateContent>
      </w:r>
    </w:p>
    <w:p w:rsidR="0059773C" w:rsidRDefault="00B8713F">
      <w:pPr>
        <w:spacing w:line="560" w:lineRule="exact"/>
        <w:jc w:val="center"/>
        <w:rPr>
          <w:rFonts w:ascii="方正小标宋简体" w:eastAsia="方正小标宋简体" w:cs="方正小标宋简体"/>
          <w:color w:val="000000"/>
          <w:sz w:val="44"/>
          <w:szCs w:val="44"/>
        </w:rPr>
      </w:pPr>
      <w:bookmarkStart w:id="1" w:name="Bt"/>
      <w:bookmarkEnd w:id="1"/>
      <w:r>
        <w:rPr>
          <w:rFonts w:eastAsia="文星简小标宋" w:cs="文星简小标宋"/>
          <w:bCs/>
          <w:sz w:val="44"/>
          <w:szCs w:val="44"/>
          <w:lang w:bidi="ar"/>
        </w:rPr>
        <w:t>市医保局</w:t>
      </w:r>
      <w:r>
        <w:rPr>
          <w:rFonts w:eastAsia="文星简小标宋"/>
          <w:bCs/>
          <w:sz w:val="44"/>
          <w:szCs w:val="44"/>
          <w:lang w:bidi="ar"/>
        </w:rPr>
        <w:t xml:space="preserve"> </w:t>
      </w:r>
      <w:r>
        <w:rPr>
          <w:rFonts w:eastAsia="文星简小标宋" w:cs="文星简小标宋"/>
          <w:bCs/>
          <w:sz w:val="44"/>
          <w:szCs w:val="44"/>
          <w:lang w:bidi="ar"/>
        </w:rPr>
        <w:t>市卫生健康委关于印发</w:t>
      </w:r>
      <w:r>
        <w:rPr>
          <w:rFonts w:eastAsia="文星简小标宋"/>
          <w:bCs/>
          <w:sz w:val="44"/>
          <w:szCs w:val="44"/>
          <w:lang w:bidi="ar"/>
        </w:rPr>
        <w:t>《</w:t>
      </w:r>
      <w:r>
        <w:rPr>
          <w:rFonts w:ascii="方正小标宋简体" w:eastAsia="方正小标宋简体" w:cs="方正小标宋简体" w:hint="eastAsia"/>
          <w:color w:val="000000"/>
          <w:sz w:val="44"/>
          <w:szCs w:val="44"/>
        </w:rPr>
        <w:t>天津市基本医疗保险门诊特定疾病保障待遇</w:t>
      </w:r>
    </w:p>
    <w:p w:rsidR="0059773C" w:rsidRDefault="00B8713F">
      <w:pPr>
        <w:spacing w:line="560" w:lineRule="exact"/>
        <w:jc w:val="center"/>
        <w:rPr>
          <w:rFonts w:eastAsia="文星简小标宋"/>
          <w:bCs/>
          <w:sz w:val="44"/>
          <w:szCs w:val="44"/>
        </w:rPr>
      </w:pPr>
      <w:r>
        <w:rPr>
          <w:rFonts w:ascii="方正小标宋简体" w:eastAsia="方正小标宋简体" w:cs="方正小标宋简体" w:hint="eastAsia"/>
          <w:color w:val="000000"/>
          <w:sz w:val="44"/>
          <w:szCs w:val="44"/>
        </w:rPr>
        <w:t>认定管理办法</w:t>
      </w:r>
      <w:r>
        <w:rPr>
          <w:rFonts w:eastAsia="文星简小标宋"/>
          <w:bCs/>
          <w:sz w:val="44"/>
          <w:szCs w:val="44"/>
          <w:lang w:bidi="ar"/>
        </w:rPr>
        <w:t>》的</w:t>
      </w:r>
      <w:r>
        <w:rPr>
          <w:rFonts w:eastAsia="文星简小标宋" w:cs="文星简小标宋"/>
          <w:bCs/>
          <w:sz w:val="44"/>
          <w:szCs w:val="44"/>
          <w:lang w:bidi="ar"/>
        </w:rPr>
        <w:t>通知</w:t>
      </w:r>
    </w:p>
    <w:p w:rsidR="0059773C" w:rsidRDefault="0059773C">
      <w:pPr>
        <w:jc w:val="center"/>
        <w:rPr>
          <w:rFonts w:eastAsia="文星简小标宋"/>
          <w:sz w:val="44"/>
          <w:szCs w:val="44"/>
        </w:rPr>
      </w:pPr>
    </w:p>
    <w:p w:rsidR="0059773C" w:rsidRDefault="00B8713F">
      <w:pPr>
        <w:rPr>
          <w:rFonts w:eastAsia="仿宋_GB2312"/>
          <w:sz w:val="32"/>
        </w:rPr>
      </w:pPr>
      <w:r>
        <w:rPr>
          <w:rFonts w:eastAsia="仿宋_GB2312" w:cs="仿宋_GB2312"/>
          <w:sz w:val="32"/>
          <w:lang w:bidi="ar"/>
        </w:rPr>
        <w:t>各区医保局、</w:t>
      </w:r>
      <w:r>
        <w:rPr>
          <w:rFonts w:eastAsia="仿宋_GB2312" w:cs="仿宋_GB2312" w:hint="eastAsia"/>
          <w:sz w:val="32"/>
          <w:lang w:bidi="ar"/>
        </w:rPr>
        <w:t>卫生健康委，各有关单位：</w:t>
      </w:r>
    </w:p>
    <w:p w:rsidR="0059773C" w:rsidRDefault="00B8713F">
      <w:pPr>
        <w:ind w:firstLineChars="200" w:firstLine="640"/>
        <w:rPr>
          <w:rFonts w:eastAsia="仿宋_GB2312" w:cs="仿宋_GB2312"/>
          <w:sz w:val="32"/>
          <w:szCs w:val="32"/>
        </w:rPr>
      </w:pPr>
      <w:r>
        <w:rPr>
          <w:rFonts w:eastAsia="仿宋_GB2312" w:hint="eastAsia"/>
          <w:sz w:val="32"/>
          <w:lang w:bidi="ar"/>
        </w:rPr>
        <w:t>现</w:t>
      </w:r>
      <w:r>
        <w:rPr>
          <w:rFonts w:eastAsia="仿宋_GB2312" w:cs="仿宋_GB2312"/>
          <w:sz w:val="32"/>
          <w:lang w:bidi="ar"/>
        </w:rPr>
        <w:t>将《</w:t>
      </w:r>
      <w:r>
        <w:rPr>
          <w:rFonts w:eastAsia="仿宋_GB2312" w:cs="仿宋_GB2312"/>
          <w:sz w:val="32"/>
          <w:lang w:bidi="ar"/>
        </w:rPr>
        <w:t>天津市基本医疗保险门诊特定疾病保障待遇认定管理办法</w:t>
      </w:r>
      <w:r>
        <w:rPr>
          <w:rFonts w:eastAsia="仿宋_GB2312" w:cs="仿宋_GB2312"/>
          <w:sz w:val="32"/>
          <w:lang w:bidi="ar"/>
        </w:rPr>
        <w:t>》</w:t>
      </w:r>
      <w:r>
        <w:rPr>
          <w:rFonts w:eastAsia="仿宋_GB2312" w:cs="仿宋_GB2312"/>
          <w:sz w:val="32"/>
          <w:lang w:bidi="ar"/>
        </w:rPr>
        <w:t>印发给</w:t>
      </w:r>
      <w:r>
        <w:rPr>
          <w:rFonts w:eastAsia="仿宋_GB2312" w:cs="仿宋_GB2312" w:hint="eastAsia"/>
          <w:sz w:val="32"/>
          <w:szCs w:val="32"/>
          <w:lang w:bidi="ar"/>
        </w:rPr>
        <w:t>你们，</w:t>
      </w:r>
      <w:r>
        <w:rPr>
          <w:rFonts w:eastAsia="仿宋_GB2312" w:cs="仿宋_GB2312"/>
          <w:sz w:val="32"/>
          <w:szCs w:val="32"/>
          <w:lang w:bidi="ar"/>
        </w:rPr>
        <w:t>请遵照</w:t>
      </w:r>
      <w:r>
        <w:rPr>
          <w:rFonts w:eastAsia="仿宋_GB2312" w:cs="仿宋_GB2312" w:hint="eastAsia"/>
          <w:sz w:val="32"/>
          <w:szCs w:val="32"/>
          <w:lang w:bidi="ar"/>
        </w:rPr>
        <w:t>执行。</w:t>
      </w:r>
    </w:p>
    <w:p w:rsidR="0059773C" w:rsidRDefault="0059773C">
      <w:pPr>
        <w:adjustRightInd w:val="0"/>
        <w:spacing w:line="600" w:lineRule="exact"/>
        <w:rPr>
          <w:rFonts w:eastAsia="仿宋_GB2312"/>
          <w:sz w:val="32"/>
          <w:szCs w:val="32"/>
        </w:rPr>
      </w:pPr>
    </w:p>
    <w:p w:rsidR="0059773C" w:rsidRDefault="00B8713F">
      <w:pPr>
        <w:spacing w:line="600" w:lineRule="exact"/>
        <w:ind w:firstLineChars="350" w:firstLine="1120"/>
        <w:rPr>
          <w:rFonts w:eastAsia="仿宋_GB2312" w:cs="仿宋_GB2312"/>
          <w:sz w:val="32"/>
          <w:szCs w:val="32"/>
          <w:lang w:bidi="ar"/>
        </w:rPr>
      </w:pPr>
      <w:r>
        <w:rPr>
          <w:rFonts w:eastAsia="仿宋_GB2312" w:cs="仿宋_GB2312" w:hint="eastAsia"/>
          <w:sz w:val="32"/>
          <w:szCs w:val="32"/>
          <w:lang w:bidi="ar"/>
        </w:rPr>
        <w:t>市医保局</w:t>
      </w:r>
      <w:r>
        <w:rPr>
          <w:rFonts w:eastAsia="仿宋_GB2312"/>
          <w:sz w:val="32"/>
          <w:szCs w:val="32"/>
          <w:lang w:bidi="ar"/>
        </w:rPr>
        <w:t xml:space="preserve">                  </w:t>
      </w:r>
      <w:r>
        <w:rPr>
          <w:rFonts w:eastAsia="仿宋_GB2312" w:cs="仿宋_GB2312" w:hint="eastAsia"/>
          <w:sz w:val="32"/>
          <w:szCs w:val="32"/>
          <w:lang w:bidi="ar"/>
        </w:rPr>
        <w:t>市卫生健康委</w:t>
      </w:r>
    </w:p>
    <w:p w:rsidR="0059773C" w:rsidRDefault="0059773C">
      <w:pPr>
        <w:pStyle w:val="a6"/>
      </w:pPr>
    </w:p>
    <w:p w:rsidR="0059773C" w:rsidRDefault="00B8713F">
      <w:pPr>
        <w:spacing w:line="600" w:lineRule="exact"/>
        <w:ind w:right="640" w:firstLineChars="1500" w:firstLine="4800"/>
        <w:rPr>
          <w:rFonts w:eastAsia="仿宋_GB2312"/>
          <w:sz w:val="32"/>
          <w:szCs w:val="32"/>
        </w:rPr>
      </w:pPr>
      <w:r>
        <w:rPr>
          <w:rFonts w:eastAsia="仿宋_GB2312"/>
          <w:sz w:val="32"/>
          <w:szCs w:val="32"/>
          <w:lang w:bidi="ar"/>
        </w:rPr>
        <w:t>2025</w:t>
      </w:r>
      <w:r>
        <w:rPr>
          <w:rFonts w:eastAsia="仿宋_GB2312" w:cs="仿宋_GB2312" w:hint="eastAsia"/>
          <w:sz w:val="32"/>
          <w:szCs w:val="32"/>
          <w:lang w:bidi="ar"/>
        </w:rPr>
        <w:t>年</w:t>
      </w:r>
      <w:r>
        <w:rPr>
          <w:rFonts w:eastAsia="仿宋_GB2312" w:cs="仿宋_GB2312"/>
          <w:sz w:val="32"/>
          <w:szCs w:val="32"/>
          <w:lang w:bidi="ar"/>
        </w:rPr>
        <w:t>1</w:t>
      </w:r>
      <w:r>
        <w:rPr>
          <w:rFonts w:eastAsia="仿宋_GB2312" w:cs="仿宋_GB2312" w:hint="eastAsia"/>
          <w:sz w:val="32"/>
          <w:szCs w:val="32"/>
          <w:lang w:bidi="ar"/>
        </w:rPr>
        <w:t>1</w:t>
      </w:r>
      <w:r>
        <w:rPr>
          <w:rFonts w:eastAsia="仿宋_GB2312" w:cs="仿宋_GB2312" w:hint="eastAsia"/>
          <w:sz w:val="32"/>
          <w:szCs w:val="32"/>
          <w:lang w:bidi="ar"/>
        </w:rPr>
        <w:t>月</w:t>
      </w:r>
      <w:r>
        <w:rPr>
          <w:rFonts w:eastAsia="仿宋_GB2312" w:cs="仿宋_GB2312" w:hint="eastAsia"/>
          <w:sz w:val="32"/>
          <w:szCs w:val="32"/>
          <w:lang w:bidi="ar"/>
        </w:rPr>
        <w:t>3</w:t>
      </w:r>
      <w:r>
        <w:rPr>
          <w:rFonts w:eastAsia="仿宋_GB2312" w:cs="仿宋_GB2312" w:hint="eastAsia"/>
          <w:sz w:val="32"/>
          <w:szCs w:val="32"/>
          <w:lang w:bidi="ar"/>
        </w:rPr>
        <w:t>日</w:t>
      </w:r>
    </w:p>
    <w:p w:rsidR="0059773C" w:rsidRDefault="00B8713F">
      <w:pPr>
        <w:spacing w:line="600" w:lineRule="exact"/>
        <w:ind w:right="640" w:firstLineChars="250" w:firstLine="800"/>
        <w:rPr>
          <w:rFonts w:eastAsia="仿宋_GB2312"/>
          <w:sz w:val="32"/>
          <w:szCs w:val="32"/>
        </w:rPr>
      </w:pPr>
      <w:r>
        <w:rPr>
          <w:rFonts w:eastAsia="仿宋_GB2312" w:cs="仿宋_GB2312" w:hint="eastAsia"/>
          <w:sz w:val="32"/>
          <w:szCs w:val="32"/>
          <w:lang w:bidi="ar"/>
        </w:rPr>
        <w:t>（此件主动公开）</w:t>
      </w:r>
    </w:p>
    <w:p w:rsidR="0059773C" w:rsidRDefault="00B8713F">
      <w:pPr>
        <w:spacing w:line="578" w:lineRule="exact"/>
        <w:jc w:val="center"/>
        <w:rPr>
          <w:rFonts w:ascii="方正小标宋简体" w:eastAsia="方正小标宋简体" w:cs="方正小标宋简体"/>
          <w:color w:val="000000"/>
          <w:sz w:val="44"/>
          <w:szCs w:val="44"/>
        </w:rPr>
      </w:pPr>
      <w:r>
        <w:rPr>
          <w:rFonts w:eastAsia="黑体"/>
          <w:bCs/>
          <w:sz w:val="32"/>
          <w:szCs w:val="32"/>
          <w:lang w:bidi="ar"/>
        </w:rPr>
        <w:br w:type="page"/>
      </w:r>
      <w:r>
        <w:rPr>
          <w:rFonts w:ascii="方正小标宋简体" w:eastAsia="方正小标宋简体" w:cs="方正小标宋简体" w:hint="eastAsia"/>
          <w:color w:val="000000"/>
          <w:sz w:val="44"/>
          <w:szCs w:val="44"/>
        </w:rPr>
        <w:lastRenderedPageBreak/>
        <w:t>天津市基本医疗保险门诊特定疾病</w:t>
      </w:r>
    </w:p>
    <w:p w:rsidR="0059773C" w:rsidRDefault="00B8713F">
      <w:pPr>
        <w:spacing w:line="578" w:lineRule="exact"/>
        <w:jc w:val="center"/>
        <w:rPr>
          <w:rFonts w:ascii="方正小标宋简体" w:eastAsia="方正小标宋简体" w:cs="方正小标宋简体"/>
          <w:color w:val="000000"/>
          <w:sz w:val="44"/>
          <w:szCs w:val="44"/>
        </w:rPr>
      </w:pPr>
      <w:r>
        <w:rPr>
          <w:rFonts w:ascii="方正小标宋简体" w:eastAsia="方正小标宋简体" w:cs="方正小标宋简体" w:hint="eastAsia"/>
          <w:color w:val="000000"/>
          <w:sz w:val="44"/>
          <w:szCs w:val="44"/>
        </w:rPr>
        <w:t>保障待遇认定管理办法</w:t>
      </w:r>
    </w:p>
    <w:p w:rsidR="0059773C" w:rsidRDefault="0059773C">
      <w:pPr>
        <w:spacing w:line="578" w:lineRule="exact"/>
        <w:rPr>
          <w:rFonts w:ascii="Calibri" w:eastAsia="黑体" w:hAnsi="Calibri" w:cs="Calibri"/>
          <w:snapToGrid w:val="0"/>
          <w:color w:val="000000"/>
          <w:kern w:val="0"/>
          <w:sz w:val="32"/>
          <w:szCs w:val="32"/>
        </w:rPr>
      </w:pPr>
    </w:p>
    <w:p w:rsidR="0059773C" w:rsidRDefault="00B8713F">
      <w:pPr>
        <w:spacing w:line="578" w:lineRule="exact"/>
        <w:jc w:val="center"/>
        <w:rPr>
          <w:rFonts w:ascii="Calibri" w:eastAsia="黑体" w:hAnsi="Calibri" w:cs="黑体"/>
          <w:snapToGrid w:val="0"/>
          <w:color w:val="000000"/>
          <w:kern w:val="0"/>
          <w:sz w:val="32"/>
          <w:szCs w:val="32"/>
        </w:rPr>
      </w:pPr>
      <w:r>
        <w:rPr>
          <w:rFonts w:ascii="Calibri" w:eastAsia="黑体" w:hAnsi="Calibri" w:cs="黑体" w:hint="eastAsia"/>
          <w:snapToGrid w:val="0"/>
          <w:color w:val="000000"/>
          <w:kern w:val="0"/>
          <w:sz w:val="32"/>
          <w:szCs w:val="32"/>
        </w:rPr>
        <w:t>第一章</w:t>
      </w:r>
      <w:r>
        <w:rPr>
          <w:rFonts w:ascii="Calibri" w:eastAsia="黑体" w:hAnsi="Calibri" w:cs="Calibri"/>
          <w:color w:val="000000"/>
          <w:kern w:val="0"/>
          <w:sz w:val="32"/>
          <w:szCs w:val="32"/>
        </w:rPr>
        <w:t xml:space="preserve">  </w:t>
      </w:r>
      <w:r>
        <w:rPr>
          <w:rFonts w:ascii="Calibri" w:eastAsia="黑体" w:hAnsi="Calibri" w:cs="黑体" w:hint="eastAsia"/>
          <w:snapToGrid w:val="0"/>
          <w:color w:val="000000"/>
          <w:kern w:val="0"/>
          <w:sz w:val="32"/>
          <w:szCs w:val="32"/>
        </w:rPr>
        <w:t>总</w:t>
      </w:r>
      <w:r>
        <w:rPr>
          <w:rFonts w:ascii="Calibri" w:eastAsia="黑体" w:hAnsi="Calibri" w:cs="Calibri"/>
          <w:color w:val="000000"/>
          <w:kern w:val="0"/>
          <w:sz w:val="32"/>
          <w:szCs w:val="32"/>
        </w:rPr>
        <w:t xml:space="preserve">  </w:t>
      </w:r>
      <w:r>
        <w:rPr>
          <w:rFonts w:ascii="Calibri" w:eastAsia="黑体" w:hAnsi="Calibri" w:cs="黑体" w:hint="eastAsia"/>
          <w:snapToGrid w:val="0"/>
          <w:color w:val="000000"/>
          <w:kern w:val="0"/>
          <w:sz w:val="32"/>
          <w:szCs w:val="32"/>
        </w:rPr>
        <w:t>则</w:t>
      </w:r>
    </w:p>
    <w:p w:rsidR="0059773C" w:rsidRDefault="00B8713F">
      <w:pPr>
        <w:spacing w:line="578" w:lineRule="exact"/>
        <w:ind w:firstLineChars="200" w:firstLine="64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第一条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为进一步规范本市基本医疗保险门诊特定疾病（以下简称</w:t>
      </w:r>
      <w:r>
        <w:rPr>
          <w:rFonts w:ascii="仿宋_GB2312" w:eastAsia="仿宋_GB2312" w:cs="仿宋_GB2312" w:hint="eastAsia"/>
          <w:snapToGrid w:val="0"/>
          <w:color w:val="000000"/>
          <w:kern w:val="0"/>
          <w:sz w:val="32"/>
          <w:szCs w:val="32"/>
        </w:rPr>
        <w:t>“门特病”</w:t>
      </w:r>
      <w:r>
        <w:rPr>
          <w:rFonts w:ascii="Calibri" w:eastAsia="仿宋_GB2312" w:hAnsi="Calibri" w:cs="仿宋_GB2312" w:hint="eastAsia"/>
          <w:snapToGrid w:val="0"/>
          <w:color w:val="000000"/>
          <w:kern w:val="0"/>
          <w:sz w:val="32"/>
          <w:szCs w:val="32"/>
        </w:rPr>
        <w:t>）保障待遇认定管理，切实维护医疗保障基金安全，根据《天津市基本医疗保险条例》、《国家医疗保障局办公室关于加强门诊慢性病和特殊疾病医保管理服务工作的通知》（医保办发〔</w:t>
      </w:r>
      <w:r>
        <w:rPr>
          <w:rFonts w:ascii="Calibri" w:eastAsia="仿宋_GB2312" w:hAnsi="Calibri" w:cs="Calibri"/>
          <w:snapToGrid w:val="0"/>
          <w:color w:val="000000"/>
          <w:kern w:val="0"/>
          <w:sz w:val="32"/>
          <w:szCs w:val="32"/>
        </w:rPr>
        <w:t>2024</w:t>
      </w:r>
      <w:r>
        <w:rPr>
          <w:rFonts w:ascii="Calibri" w:eastAsia="仿宋_GB2312" w:hAnsi="Calibri" w:cs="仿宋_GB2312" w:hint="eastAsia"/>
          <w:snapToGrid w:val="0"/>
          <w:color w:val="000000"/>
          <w:kern w:val="0"/>
          <w:sz w:val="32"/>
          <w:szCs w:val="32"/>
        </w:rPr>
        <w:t>〕</w:t>
      </w:r>
      <w:r>
        <w:rPr>
          <w:rFonts w:ascii="Calibri" w:eastAsia="仿宋_GB2312" w:hAnsi="Calibri" w:cs="Calibri"/>
          <w:snapToGrid w:val="0"/>
          <w:color w:val="000000"/>
          <w:kern w:val="0"/>
          <w:sz w:val="32"/>
          <w:szCs w:val="32"/>
        </w:rPr>
        <w:t>31</w:t>
      </w:r>
      <w:r>
        <w:rPr>
          <w:rFonts w:ascii="Calibri" w:eastAsia="仿宋_GB2312" w:hAnsi="Calibri" w:cs="仿宋_GB2312" w:hint="eastAsia"/>
          <w:snapToGrid w:val="0"/>
          <w:color w:val="000000"/>
          <w:kern w:val="0"/>
          <w:sz w:val="32"/>
          <w:szCs w:val="32"/>
        </w:rPr>
        <w:t>号）、《医保基金管理突出问题专项整治工作方案》（医保办发〔</w:t>
      </w:r>
      <w:r>
        <w:rPr>
          <w:rFonts w:ascii="Calibri" w:eastAsia="仿宋_GB2312" w:hAnsi="Calibri" w:cs="Calibri"/>
          <w:snapToGrid w:val="0"/>
          <w:color w:val="000000"/>
          <w:kern w:val="0"/>
          <w:sz w:val="32"/>
          <w:szCs w:val="32"/>
        </w:rPr>
        <w:t>2025</w:t>
      </w:r>
      <w:r>
        <w:rPr>
          <w:rFonts w:ascii="Calibri" w:eastAsia="仿宋_GB2312" w:hAnsi="Calibri" w:cs="仿宋_GB2312" w:hint="eastAsia"/>
          <w:snapToGrid w:val="0"/>
          <w:color w:val="000000"/>
          <w:kern w:val="0"/>
          <w:sz w:val="32"/>
          <w:szCs w:val="32"/>
        </w:rPr>
        <w:t>〕</w:t>
      </w:r>
      <w:r>
        <w:rPr>
          <w:rFonts w:ascii="Calibri" w:eastAsia="仿宋_GB2312" w:hAnsi="Calibri" w:cs="Calibri"/>
          <w:snapToGrid w:val="0"/>
          <w:color w:val="000000"/>
          <w:kern w:val="0"/>
          <w:sz w:val="32"/>
          <w:szCs w:val="32"/>
        </w:rPr>
        <w:t>8</w:t>
      </w:r>
      <w:r>
        <w:rPr>
          <w:rFonts w:ascii="Calibri" w:eastAsia="仿宋_GB2312" w:hAnsi="Calibri" w:cs="仿宋_GB2312" w:hint="eastAsia"/>
          <w:snapToGrid w:val="0"/>
          <w:color w:val="000000"/>
          <w:kern w:val="0"/>
          <w:sz w:val="32"/>
          <w:szCs w:val="32"/>
        </w:rPr>
        <w:t>号）等法规和文件要求，结合本市实际，制定本办法。</w:t>
      </w:r>
    </w:p>
    <w:p w:rsidR="0059773C" w:rsidRDefault="00B8713F">
      <w:pPr>
        <w:spacing w:line="578" w:lineRule="exact"/>
        <w:ind w:firstLineChars="200" w:firstLine="64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第二条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本市基本医疗保险参保人员进行</w:t>
      </w:r>
      <w:r>
        <w:rPr>
          <w:rFonts w:ascii="仿宋_GB2312" w:eastAsia="仿宋_GB2312" w:cs="仿宋_GB2312" w:hint="eastAsia"/>
          <w:snapToGrid w:val="0"/>
          <w:color w:val="000000"/>
          <w:kern w:val="0"/>
          <w:sz w:val="32"/>
          <w:szCs w:val="32"/>
        </w:rPr>
        <w:t>门特病保障待遇认定</w:t>
      </w:r>
      <w:r>
        <w:rPr>
          <w:rFonts w:ascii="Calibri" w:eastAsia="仿宋_GB2312" w:hAnsi="Calibri" w:cs="仿宋_GB2312" w:hint="eastAsia"/>
          <w:snapToGrid w:val="0"/>
          <w:color w:val="000000"/>
          <w:kern w:val="0"/>
          <w:sz w:val="32"/>
          <w:szCs w:val="32"/>
        </w:rPr>
        <w:t>（以下简</w:t>
      </w:r>
      <w:r>
        <w:rPr>
          <w:rFonts w:ascii="仿宋_GB2312" w:eastAsia="仿宋_GB2312" w:cs="仿宋_GB2312" w:hint="eastAsia"/>
          <w:snapToGrid w:val="0"/>
          <w:color w:val="000000"/>
          <w:kern w:val="0"/>
          <w:sz w:val="32"/>
          <w:szCs w:val="32"/>
        </w:rPr>
        <w:t>称“门特病认定”）</w:t>
      </w:r>
      <w:r>
        <w:rPr>
          <w:rFonts w:ascii="Calibri" w:eastAsia="仿宋_GB2312" w:hAnsi="Calibri" w:cs="仿宋_GB2312" w:hint="eastAsia"/>
          <w:snapToGrid w:val="0"/>
          <w:color w:val="000000"/>
          <w:kern w:val="0"/>
          <w:sz w:val="32"/>
          <w:szCs w:val="32"/>
        </w:rPr>
        <w:t>按照本办法执行。</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第三条</w:t>
      </w:r>
      <w:r>
        <w:rPr>
          <w:rFonts w:ascii="Calibri" w:eastAsia="黑体" w:hAnsi="Calibri" w:cs="Calibri"/>
          <w:snapToGrid w:val="0"/>
          <w:color w:val="000000"/>
          <w:kern w:val="0"/>
          <w:sz w:val="32"/>
          <w:szCs w:val="32"/>
        </w:rPr>
        <w:t xml:space="preserve"> </w:t>
      </w:r>
      <w:r>
        <w:rPr>
          <w:rFonts w:ascii="仿宋_GB2312" w:eastAsia="仿宋_GB2312" w:cs="仿宋_GB2312" w:hint="eastAsia"/>
          <w:snapToGrid w:val="0"/>
          <w:color w:val="000000"/>
          <w:kern w:val="0"/>
          <w:sz w:val="32"/>
          <w:szCs w:val="32"/>
        </w:rPr>
        <w:t>门特病认定</w:t>
      </w:r>
      <w:r>
        <w:rPr>
          <w:rFonts w:ascii="Calibri" w:eastAsia="仿宋_GB2312" w:hAnsi="Calibri" w:cs="仿宋_GB2312" w:hint="eastAsia"/>
          <w:snapToGrid w:val="0"/>
          <w:color w:val="000000"/>
          <w:kern w:val="0"/>
          <w:sz w:val="32"/>
          <w:szCs w:val="32"/>
        </w:rPr>
        <w:t>工作坚持标准科学、程序规范、管理严格、客观公正的原则，门特病种实行分类认定，逐步实现规范管理和高效便民。</w:t>
      </w:r>
    </w:p>
    <w:p w:rsidR="0059773C" w:rsidRDefault="00B8713F">
      <w:pPr>
        <w:spacing w:line="578" w:lineRule="exact"/>
        <w:ind w:firstLineChars="200" w:firstLine="64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第四条</w:t>
      </w:r>
      <w:r>
        <w:rPr>
          <w:rFonts w:ascii="Calibri" w:eastAsia="黑体" w:hAnsi="Calibri" w:cs="Calibri"/>
          <w:snapToGrid w:val="0"/>
          <w:color w:val="000000"/>
          <w:kern w:val="0"/>
          <w:sz w:val="32"/>
          <w:szCs w:val="32"/>
        </w:rPr>
        <w:t xml:space="preserve"> </w:t>
      </w:r>
      <w:r>
        <w:rPr>
          <w:rFonts w:ascii="仿宋_GB2312" w:eastAsia="仿宋_GB2312" w:cs="仿宋_GB2312" w:hint="eastAsia"/>
          <w:color w:val="000000"/>
          <w:kern w:val="0"/>
          <w:sz w:val="32"/>
          <w:szCs w:val="32"/>
        </w:rPr>
        <w:t>市医疗保障行政部门负责制定本市门特病认定办法和标准，</w:t>
      </w:r>
      <w:r>
        <w:rPr>
          <w:rFonts w:ascii="仿宋_GB2312" w:eastAsia="仿宋_GB2312" w:cs="仿宋_GB2312" w:hint="eastAsia"/>
          <w:color w:val="000000"/>
          <w:sz w:val="32"/>
          <w:szCs w:val="32"/>
        </w:rPr>
        <w:t>监督和指导有关规定的执行和落实。</w:t>
      </w:r>
      <w:r>
        <w:rPr>
          <w:rFonts w:ascii="Calibri" w:eastAsia="仿宋_GB2312" w:hAnsi="Calibri" w:cs="仿宋_GB2312" w:hint="eastAsia"/>
          <w:snapToGrid w:val="0"/>
          <w:color w:val="000000"/>
          <w:kern w:val="0"/>
          <w:sz w:val="32"/>
          <w:szCs w:val="32"/>
        </w:rPr>
        <w:t>市和区卫生健康行政部门应加强对门特病认定机构和认定医师开展门特病认定的医疗服务行为的管理。</w:t>
      </w:r>
    </w:p>
    <w:p w:rsidR="0059773C" w:rsidRDefault="00B8713F">
      <w:pPr>
        <w:spacing w:line="578" w:lineRule="exact"/>
        <w:ind w:firstLineChars="200" w:firstLine="640"/>
        <w:rPr>
          <w:rFonts w:ascii="Calibri" w:hAnsi="Calibri" w:cs="Calibri"/>
          <w:color w:val="000000"/>
          <w:szCs w:val="21"/>
        </w:rPr>
      </w:pPr>
      <w:r>
        <w:rPr>
          <w:rFonts w:ascii="Calibri" w:eastAsia="仿宋_GB2312" w:hAnsi="Calibri" w:cs="仿宋_GB2312" w:hint="eastAsia"/>
          <w:snapToGrid w:val="0"/>
          <w:color w:val="000000"/>
          <w:kern w:val="0"/>
          <w:sz w:val="32"/>
          <w:szCs w:val="32"/>
        </w:rPr>
        <w:t>医疗保障经办机构负责门特病认定管理和经办服务。</w:t>
      </w:r>
    </w:p>
    <w:p w:rsidR="0059773C" w:rsidRDefault="00B8713F">
      <w:pPr>
        <w:spacing w:line="578" w:lineRule="exact"/>
        <w:ind w:firstLine="630"/>
        <w:rPr>
          <w:rFonts w:ascii="Calibri" w:eastAsia="黑体" w:hAnsi="Calibri" w:cs="Calibri"/>
          <w:snapToGrid w:val="0"/>
          <w:color w:val="000000"/>
          <w:kern w:val="0"/>
          <w:sz w:val="32"/>
          <w:szCs w:val="32"/>
        </w:rPr>
      </w:pPr>
      <w:r>
        <w:rPr>
          <w:rFonts w:ascii="仿宋_GB2312" w:eastAsia="仿宋_GB2312" w:cs="仿宋_GB2312" w:hint="eastAsia"/>
          <w:color w:val="000000"/>
          <w:kern w:val="0"/>
          <w:sz w:val="32"/>
          <w:szCs w:val="32"/>
        </w:rPr>
        <w:t>市医疗保障行政执法机构受市医疗保障行政部门委托，按照规定具体实施</w:t>
      </w:r>
      <w:r>
        <w:rPr>
          <w:rFonts w:eastAsia="仿宋_GB2312" w:cs="仿宋_GB2312" w:hint="eastAsia"/>
          <w:color w:val="000000"/>
          <w:sz w:val="32"/>
          <w:szCs w:val="32"/>
        </w:rPr>
        <w:t>基本医疗保险门特病</w:t>
      </w:r>
      <w:r>
        <w:rPr>
          <w:rFonts w:ascii="仿宋_GB2312" w:eastAsia="仿宋_GB2312" w:cs="仿宋_GB2312" w:hint="eastAsia"/>
          <w:color w:val="000000"/>
          <w:kern w:val="0"/>
          <w:sz w:val="32"/>
          <w:szCs w:val="32"/>
        </w:rPr>
        <w:t>认定监督检查工作。各区医疗保障行政部门</w:t>
      </w:r>
      <w:r>
        <w:rPr>
          <w:rFonts w:ascii="仿宋_GB2312" w:eastAsia="仿宋_GB2312" w:cs="仿宋_GB2312" w:hint="eastAsia"/>
          <w:color w:val="000000"/>
          <w:sz w:val="32"/>
          <w:szCs w:val="32"/>
        </w:rPr>
        <w:t>负责执行门特病认定管理有关规定，对辖区执行情</w:t>
      </w:r>
      <w:r>
        <w:rPr>
          <w:rFonts w:ascii="仿宋_GB2312" w:eastAsia="仿宋_GB2312" w:cs="仿宋_GB2312" w:hint="eastAsia"/>
          <w:color w:val="000000"/>
          <w:sz w:val="32"/>
          <w:szCs w:val="32"/>
        </w:rPr>
        <w:lastRenderedPageBreak/>
        <w:t>况进行监督和指导</w:t>
      </w:r>
      <w:r>
        <w:rPr>
          <w:rFonts w:ascii="仿宋_GB2312" w:eastAsia="仿宋_GB2312" w:cs="仿宋_GB2312"/>
          <w:color w:val="000000"/>
          <w:sz w:val="32"/>
          <w:szCs w:val="32"/>
        </w:rPr>
        <w:t>,</w:t>
      </w:r>
      <w:r>
        <w:rPr>
          <w:rFonts w:ascii="仿宋_GB2312" w:eastAsia="仿宋_GB2312" w:cs="仿宋_GB2312" w:hint="eastAsia"/>
          <w:color w:val="000000"/>
          <w:kern w:val="0"/>
          <w:sz w:val="32"/>
          <w:szCs w:val="32"/>
        </w:rPr>
        <w:t>具体实施本行政区域内</w:t>
      </w:r>
      <w:r>
        <w:rPr>
          <w:rFonts w:eastAsia="仿宋_GB2312" w:cs="仿宋_GB2312" w:hint="eastAsia"/>
          <w:color w:val="000000"/>
          <w:sz w:val="32"/>
          <w:szCs w:val="32"/>
        </w:rPr>
        <w:t>基本医疗保险门特病</w:t>
      </w:r>
      <w:r>
        <w:rPr>
          <w:rFonts w:ascii="仿宋_GB2312" w:eastAsia="仿宋_GB2312" w:cs="仿宋_GB2312" w:hint="eastAsia"/>
          <w:color w:val="000000"/>
          <w:kern w:val="0"/>
          <w:sz w:val="32"/>
          <w:szCs w:val="32"/>
        </w:rPr>
        <w:t>认定监督检查等行政执法工作。</w:t>
      </w:r>
    </w:p>
    <w:p w:rsidR="0059773C" w:rsidRDefault="00B8713F">
      <w:pPr>
        <w:spacing w:line="578" w:lineRule="exact"/>
        <w:ind w:firstLine="630"/>
        <w:rPr>
          <w:rFonts w:ascii="Calibri" w:eastAsia="仿宋_GB2312" w:hAnsi="Calibri" w:cs="Calibri"/>
          <w:strike/>
          <w:snapToGrid w:val="0"/>
          <w:color w:val="000000"/>
          <w:kern w:val="0"/>
          <w:sz w:val="32"/>
          <w:szCs w:val="32"/>
        </w:rPr>
      </w:pPr>
      <w:r>
        <w:rPr>
          <w:rFonts w:ascii="Calibri" w:eastAsia="黑体" w:hAnsi="Calibri" w:cs="黑体" w:hint="eastAsia"/>
          <w:snapToGrid w:val="0"/>
          <w:color w:val="000000"/>
          <w:kern w:val="0"/>
          <w:sz w:val="32"/>
          <w:szCs w:val="32"/>
        </w:rPr>
        <w:t>第五条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本市加强与北京市、河北省门特病认定工作协作，做好在病种范围、认定标准、经办流程等方面区域协同。本市加强与其他省市在门特病待遇资格认定中的合作。</w:t>
      </w:r>
    </w:p>
    <w:p w:rsidR="0059773C" w:rsidRDefault="0059773C">
      <w:pPr>
        <w:spacing w:line="578" w:lineRule="exact"/>
        <w:ind w:firstLine="630"/>
        <w:rPr>
          <w:rFonts w:ascii="Calibri" w:eastAsia="仿宋_GB2312" w:hAnsi="Calibri" w:cs="Calibri"/>
          <w:snapToGrid w:val="0"/>
          <w:color w:val="000000"/>
          <w:kern w:val="0"/>
          <w:sz w:val="32"/>
          <w:szCs w:val="32"/>
        </w:rPr>
      </w:pPr>
    </w:p>
    <w:p w:rsidR="0059773C" w:rsidRDefault="00B8713F">
      <w:pPr>
        <w:spacing w:line="578" w:lineRule="exact"/>
        <w:jc w:val="center"/>
        <w:rPr>
          <w:rFonts w:ascii="Calibri" w:eastAsia="黑体" w:hAnsi="Calibri" w:cs="黑体"/>
          <w:snapToGrid w:val="0"/>
          <w:color w:val="000000"/>
          <w:kern w:val="0"/>
          <w:sz w:val="32"/>
          <w:szCs w:val="32"/>
        </w:rPr>
      </w:pPr>
      <w:r>
        <w:rPr>
          <w:rFonts w:ascii="Calibri" w:eastAsia="黑体" w:hAnsi="Calibri" w:cs="黑体" w:hint="eastAsia"/>
          <w:snapToGrid w:val="0"/>
          <w:color w:val="000000"/>
          <w:kern w:val="0"/>
          <w:sz w:val="32"/>
          <w:szCs w:val="32"/>
        </w:rPr>
        <w:t>第二章</w:t>
      </w:r>
      <w:r>
        <w:rPr>
          <w:rFonts w:ascii="Calibri" w:eastAsia="黑体" w:hAnsi="Calibri" w:cs="Calibri"/>
          <w:color w:val="000000"/>
          <w:kern w:val="0"/>
          <w:sz w:val="32"/>
          <w:szCs w:val="32"/>
        </w:rPr>
        <w:t xml:space="preserve">  </w:t>
      </w:r>
      <w:r>
        <w:rPr>
          <w:rFonts w:ascii="Calibri" w:eastAsia="黑体" w:hAnsi="Calibri" w:cs="黑体" w:hint="eastAsia"/>
          <w:snapToGrid w:val="0"/>
          <w:color w:val="000000"/>
          <w:kern w:val="0"/>
          <w:sz w:val="32"/>
          <w:szCs w:val="32"/>
        </w:rPr>
        <w:t>认定机构和医师</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第六条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医疗保障经办机构按程序委托符合以下基本条件的定点医疗机构作为门特病认定机构开展门特病认定工作。</w:t>
      </w:r>
    </w:p>
    <w:p w:rsidR="0059773C" w:rsidRDefault="00B8713F">
      <w:pPr>
        <w:spacing w:line="578" w:lineRule="exact"/>
        <w:ind w:firstLineChars="195" w:firstLine="624"/>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（一）二级及以上定点医疗机构；</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（二）具备相应门特病的住院诊疗条件，相应科室有</w:t>
      </w:r>
      <w:r>
        <w:rPr>
          <w:rFonts w:ascii="Calibri" w:eastAsia="仿宋_GB2312" w:hAnsi="Calibri" w:cs="Calibri"/>
          <w:snapToGrid w:val="0"/>
          <w:color w:val="000000"/>
          <w:kern w:val="0"/>
          <w:sz w:val="32"/>
          <w:szCs w:val="32"/>
        </w:rPr>
        <w:t>3</w:t>
      </w:r>
      <w:r>
        <w:rPr>
          <w:rFonts w:ascii="Calibri" w:eastAsia="仿宋_GB2312" w:hAnsi="Calibri" w:cs="仿宋_GB2312" w:hint="eastAsia"/>
          <w:snapToGrid w:val="0"/>
          <w:color w:val="000000"/>
          <w:kern w:val="0"/>
          <w:sz w:val="32"/>
          <w:szCs w:val="32"/>
        </w:rPr>
        <w:t>名以上具有高级专业技术职称的临床医师；</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（三）具备实施门特认定工作的必要场所，安排专门工作人员，并安装视频监控、人脸识别等监管设备；</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（四）遵守医疗</w:t>
      </w:r>
      <w:r>
        <w:rPr>
          <w:rFonts w:ascii="Calibri" w:eastAsia="仿宋_GB2312" w:hAnsi="Calibri" w:cs="仿宋_GB2312"/>
          <w:snapToGrid w:val="0"/>
          <w:color w:val="000000"/>
          <w:kern w:val="0"/>
          <w:sz w:val="32"/>
          <w:szCs w:val="32"/>
        </w:rPr>
        <w:t>保障</w:t>
      </w:r>
      <w:r>
        <w:rPr>
          <w:rFonts w:ascii="Calibri" w:eastAsia="仿宋_GB2312" w:hAnsi="Calibri" w:cs="仿宋_GB2312" w:hint="eastAsia"/>
          <w:snapToGrid w:val="0"/>
          <w:color w:val="000000"/>
          <w:kern w:val="0"/>
          <w:sz w:val="32"/>
          <w:szCs w:val="32"/>
        </w:rPr>
        <w:t>法律法规和协议管理的有关规定，愿意执行本市门特病管理规定；</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（五）适应不同门特病工作需要应当具备的其他条件。</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第七条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按照总量控制、合理布局、公开透明、规范统一原则，</w:t>
      </w:r>
      <w:r>
        <w:rPr>
          <w:rFonts w:ascii="Calibri" w:eastAsia="仿宋_GB2312" w:hAnsi="Calibri" w:cs="仿宋_GB2312"/>
          <w:snapToGrid w:val="0"/>
          <w:color w:val="000000"/>
          <w:kern w:val="0"/>
          <w:sz w:val="32"/>
          <w:szCs w:val="32"/>
        </w:rPr>
        <w:t>医疗保障</w:t>
      </w:r>
      <w:r>
        <w:rPr>
          <w:rFonts w:ascii="Calibri" w:eastAsia="仿宋_GB2312" w:hAnsi="Calibri" w:cs="仿宋_GB2312" w:hint="eastAsia"/>
          <w:snapToGrid w:val="0"/>
          <w:color w:val="000000"/>
          <w:kern w:val="0"/>
          <w:sz w:val="32"/>
          <w:szCs w:val="32"/>
        </w:rPr>
        <w:t>经办机构选定符合条件的定点医疗机构作为门特病认定机构。加强糖尿病门特病认定工作，合理确定认定数量，并按公开公平公正原则确定符合条件的定点医疗机构作为糖尿病门特认定机构。</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第八条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认定机构医师申请作为门特病认定医师</w:t>
      </w:r>
      <w:r>
        <w:rPr>
          <w:rFonts w:ascii="Calibri" w:eastAsia="仿宋_GB2312" w:hAnsi="Calibri" w:cs="仿宋_GB2312"/>
          <w:snapToGrid w:val="0"/>
          <w:color w:val="000000"/>
          <w:kern w:val="0"/>
          <w:sz w:val="32"/>
          <w:szCs w:val="32"/>
        </w:rPr>
        <w:t>应</w:t>
      </w:r>
      <w:r>
        <w:rPr>
          <w:rFonts w:ascii="Calibri" w:eastAsia="仿宋_GB2312" w:hAnsi="Calibri" w:cs="仿宋_GB2312" w:hint="eastAsia"/>
          <w:snapToGrid w:val="0"/>
          <w:color w:val="000000"/>
          <w:kern w:val="0"/>
          <w:sz w:val="32"/>
          <w:szCs w:val="32"/>
        </w:rPr>
        <w:t>具备以下条件。</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lastRenderedPageBreak/>
        <w:t>（一）具有高级专业技术职称，并在所属医疗机构从事相应专业的临床诊疗工作；</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（二）熟悉医疗保险门特病相关政策和</w:t>
      </w:r>
      <w:r>
        <w:rPr>
          <w:rFonts w:eastAsia="仿宋_GB2312" w:cs="仿宋_GB2312"/>
          <w:snapToGrid w:val="0"/>
          <w:color w:val="000000"/>
          <w:kern w:val="0"/>
          <w:sz w:val="32"/>
          <w:szCs w:val="32"/>
        </w:rPr>
        <w:t>认</w:t>
      </w:r>
      <w:r>
        <w:rPr>
          <w:rFonts w:ascii="Calibri" w:eastAsia="仿宋_GB2312" w:hAnsi="Calibri" w:cs="仿宋_GB2312" w:hint="eastAsia"/>
          <w:snapToGrid w:val="0"/>
          <w:kern w:val="0"/>
          <w:sz w:val="32"/>
          <w:szCs w:val="32"/>
        </w:rPr>
        <w:t>定</w:t>
      </w:r>
      <w:r>
        <w:rPr>
          <w:rFonts w:ascii="Calibri" w:eastAsia="仿宋_GB2312" w:hAnsi="Calibri" w:cs="仿宋_GB2312" w:hint="eastAsia"/>
          <w:snapToGrid w:val="0"/>
          <w:color w:val="000000"/>
          <w:kern w:val="0"/>
          <w:sz w:val="32"/>
          <w:szCs w:val="32"/>
        </w:rPr>
        <w:t>标准；</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（三）具有良好的职业道德，两年内未受到医疗保障和卫生健康领域行政处罚。</w:t>
      </w:r>
    </w:p>
    <w:p w:rsidR="0059773C" w:rsidRDefault="00B8713F">
      <w:pPr>
        <w:spacing w:line="578" w:lineRule="exact"/>
        <w:ind w:firstLine="630"/>
        <w:rPr>
          <w:rFonts w:ascii="Calibri" w:eastAsia="仿宋_GB2312" w:hAnsi="Calibri" w:cs="Calibri"/>
          <w:snapToGrid w:val="0"/>
          <w:color w:val="000000"/>
          <w:kern w:val="0"/>
          <w:sz w:val="32"/>
          <w:szCs w:val="32"/>
        </w:rPr>
      </w:pPr>
      <w:r>
        <w:rPr>
          <w:rFonts w:ascii="Calibri" w:eastAsia="黑体" w:hAnsi="Calibri" w:cs="黑体" w:hint="eastAsia"/>
          <w:snapToGrid w:val="0"/>
          <w:color w:val="000000"/>
          <w:kern w:val="0"/>
          <w:sz w:val="32"/>
          <w:szCs w:val="32"/>
        </w:rPr>
        <w:t>第九条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医疗保障</w:t>
      </w:r>
      <w:r>
        <w:rPr>
          <w:rFonts w:ascii="Calibri" w:eastAsia="仿宋_GB2312" w:hAnsi="Calibri" w:cs="仿宋_GB2312" w:hint="eastAsia"/>
          <w:snapToGrid w:val="0"/>
          <w:color w:val="000000"/>
          <w:kern w:val="0"/>
          <w:sz w:val="32"/>
          <w:szCs w:val="32"/>
        </w:rPr>
        <w:t>经办机构按规定确定门特病认定机构后，应及时向社会公布名单。各认定机构应择优选拔符合条件的医师作为门特病认定医师人选，由医保经办机构严格审核人员资质后，纳入门特病认定医师名录管理。</w:t>
      </w:r>
      <w:r>
        <w:rPr>
          <w:rFonts w:ascii="Calibri" w:eastAsia="仿宋_GB2312" w:hAnsi="Calibri" w:cs="Calibri"/>
          <w:snapToGrid w:val="0"/>
          <w:color w:val="000000"/>
          <w:kern w:val="0"/>
          <w:sz w:val="32"/>
          <w:szCs w:val="32"/>
        </w:rPr>
        <w:t xml:space="preserve"> </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第十条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医保经办机构建立门特病认定机构和认定医师动态管理机制，对不符合条件的认定机构和医师应当及时清理。</w:t>
      </w:r>
    </w:p>
    <w:p w:rsidR="0059773C" w:rsidRDefault="0059773C">
      <w:pPr>
        <w:spacing w:line="578" w:lineRule="exact"/>
        <w:rPr>
          <w:rFonts w:ascii="Calibri" w:eastAsia="黑体" w:hAnsi="Calibri" w:cs="Calibri"/>
          <w:snapToGrid w:val="0"/>
          <w:color w:val="000000"/>
          <w:kern w:val="0"/>
          <w:sz w:val="32"/>
          <w:szCs w:val="32"/>
        </w:rPr>
      </w:pPr>
    </w:p>
    <w:p w:rsidR="0059773C" w:rsidRDefault="00B8713F">
      <w:pPr>
        <w:spacing w:line="578" w:lineRule="exact"/>
        <w:jc w:val="center"/>
        <w:rPr>
          <w:rFonts w:ascii="Calibri" w:eastAsia="黑体" w:hAnsi="Calibri" w:cs="黑体"/>
          <w:snapToGrid w:val="0"/>
          <w:color w:val="000000"/>
          <w:kern w:val="0"/>
          <w:sz w:val="32"/>
          <w:szCs w:val="32"/>
        </w:rPr>
      </w:pPr>
      <w:r>
        <w:rPr>
          <w:rFonts w:ascii="Calibri" w:eastAsia="黑体" w:hAnsi="Calibri" w:cs="黑体" w:hint="eastAsia"/>
          <w:snapToGrid w:val="0"/>
          <w:color w:val="000000"/>
          <w:kern w:val="0"/>
          <w:sz w:val="32"/>
          <w:szCs w:val="32"/>
        </w:rPr>
        <w:t>第三章</w:t>
      </w:r>
      <w:r>
        <w:rPr>
          <w:rFonts w:ascii="Calibri" w:eastAsia="黑体" w:hAnsi="Calibri" w:cs="Calibri"/>
          <w:color w:val="000000"/>
          <w:kern w:val="0"/>
          <w:sz w:val="32"/>
          <w:szCs w:val="32"/>
        </w:rPr>
        <w:t xml:space="preserve">  </w:t>
      </w:r>
      <w:r>
        <w:rPr>
          <w:rFonts w:ascii="Calibri" w:eastAsia="黑体" w:hAnsi="Calibri" w:cs="黑体" w:hint="eastAsia"/>
          <w:snapToGrid w:val="0"/>
          <w:color w:val="000000"/>
          <w:kern w:val="0"/>
          <w:sz w:val="32"/>
          <w:szCs w:val="32"/>
        </w:rPr>
        <w:t>认定流程</w:t>
      </w:r>
    </w:p>
    <w:p w:rsidR="0059773C" w:rsidRDefault="00B8713F">
      <w:pPr>
        <w:spacing w:line="578" w:lineRule="exact"/>
        <w:ind w:firstLine="636"/>
        <w:rPr>
          <w:rFonts w:ascii="Calibri" w:eastAsia="仿宋_GB2312" w:hAnsi="Calibri" w:cs="仿宋_GB2312"/>
          <w:color w:val="000000"/>
          <w:sz w:val="32"/>
          <w:szCs w:val="32"/>
        </w:rPr>
      </w:pPr>
      <w:r>
        <w:rPr>
          <w:rFonts w:ascii="Calibri" w:eastAsia="黑体" w:hAnsi="Calibri" w:cs="黑体" w:hint="eastAsia"/>
          <w:snapToGrid w:val="0"/>
          <w:color w:val="000000"/>
          <w:kern w:val="0"/>
          <w:sz w:val="32"/>
          <w:szCs w:val="32"/>
        </w:rPr>
        <w:t>第十一条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color w:val="000000"/>
          <w:sz w:val="32"/>
          <w:szCs w:val="32"/>
        </w:rPr>
        <w:t>参保人员在正常享受本市基本医保待遇期间，发现患有本市确定的门特病，</w:t>
      </w:r>
      <w:r>
        <w:rPr>
          <w:rFonts w:ascii="Calibri" w:eastAsia="仿宋_GB2312" w:hAnsi="Calibri" w:cs="仿宋_GB2312" w:hint="eastAsia"/>
          <w:snapToGrid w:val="0"/>
          <w:color w:val="000000"/>
          <w:kern w:val="0"/>
          <w:sz w:val="32"/>
          <w:szCs w:val="32"/>
        </w:rPr>
        <w:t>可以按规定办理门特病认定，并自认定通过次日起享受门特病相关报销待遇</w:t>
      </w:r>
      <w:r>
        <w:rPr>
          <w:rFonts w:ascii="Calibri" w:eastAsia="仿宋_GB2312" w:hAnsi="Calibri" w:cs="仿宋_GB2312" w:hint="eastAsia"/>
          <w:color w:val="000000"/>
          <w:sz w:val="32"/>
          <w:szCs w:val="32"/>
        </w:rPr>
        <w:t>。</w:t>
      </w:r>
    </w:p>
    <w:p w:rsidR="0059773C" w:rsidRDefault="00B8713F">
      <w:pPr>
        <w:spacing w:line="578" w:lineRule="exact"/>
        <w:ind w:firstLine="636"/>
        <w:rPr>
          <w:rFonts w:ascii="Calibri" w:eastAsia="仿宋_GB2312" w:hAnsi="Calibri" w:cs="楷体"/>
          <w:snapToGrid w:val="0"/>
          <w:color w:val="000000"/>
          <w:kern w:val="0"/>
          <w:sz w:val="32"/>
          <w:szCs w:val="32"/>
        </w:rPr>
      </w:pPr>
      <w:r>
        <w:rPr>
          <w:rFonts w:ascii="Calibri" w:eastAsia="黑体" w:hAnsi="Calibri" w:cs="黑体" w:hint="eastAsia"/>
          <w:snapToGrid w:val="0"/>
          <w:color w:val="000000"/>
          <w:kern w:val="0"/>
          <w:sz w:val="32"/>
          <w:szCs w:val="32"/>
        </w:rPr>
        <w:t>第十二条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参保人员</w:t>
      </w:r>
      <w:r>
        <w:rPr>
          <w:rFonts w:ascii="Calibri" w:eastAsia="仿宋_GB2312" w:hAnsi="Calibri" w:cs="仿宋_GB2312"/>
          <w:snapToGrid w:val="0"/>
          <w:color w:val="000000"/>
          <w:kern w:val="0"/>
          <w:sz w:val="32"/>
          <w:szCs w:val="32"/>
        </w:rPr>
        <w:t>原则上</w:t>
      </w:r>
      <w:r>
        <w:rPr>
          <w:rFonts w:ascii="Calibri" w:eastAsia="仿宋_GB2312" w:hAnsi="Calibri" w:cs="仿宋_GB2312" w:hint="eastAsia"/>
          <w:snapToGrid w:val="0"/>
          <w:color w:val="000000"/>
          <w:kern w:val="0"/>
          <w:sz w:val="32"/>
          <w:szCs w:val="32"/>
        </w:rPr>
        <w:t>在纳入认定机构管理的本人手术医院或住院治疗医院申请门特病认定。认定机构应按照应接尽接的原则，做好参保人员一般程序门特认定工作。</w:t>
      </w:r>
    </w:p>
    <w:p w:rsidR="0059773C" w:rsidRDefault="00B8713F">
      <w:pPr>
        <w:spacing w:line="578" w:lineRule="exact"/>
        <w:ind w:firstLine="636"/>
        <w:rPr>
          <w:rFonts w:ascii="Calibri" w:eastAsia="仿宋_GB2312" w:hAnsi="Calibri" w:cs="Calibri"/>
          <w:snapToGrid w:val="0"/>
          <w:color w:val="000000"/>
          <w:kern w:val="0"/>
          <w:sz w:val="32"/>
          <w:szCs w:val="32"/>
        </w:rPr>
      </w:pPr>
      <w:r>
        <w:rPr>
          <w:rFonts w:ascii="Calibri" w:eastAsia="黑体" w:hAnsi="Calibri" w:cs="黑体" w:hint="eastAsia"/>
          <w:snapToGrid w:val="0"/>
          <w:color w:val="000000"/>
          <w:kern w:val="0"/>
          <w:sz w:val="32"/>
          <w:szCs w:val="32"/>
        </w:rPr>
        <w:t>第十三条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参保人员患有门特病，且同时符合以下条件的，认定机构可以按照一般认定程序进行门特病认定。</w:t>
      </w:r>
    </w:p>
    <w:p w:rsidR="0059773C" w:rsidRDefault="00B8713F">
      <w:pPr>
        <w:spacing w:line="578" w:lineRule="exact"/>
        <w:rPr>
          <w:rFonts w:ascii="Calibri" w:eastAsia="仿宋_GB2312" w:hAnsi="Calibri" w:cs="仿宋_GB2312"/>
          <w:snapToGrid w:val="0"/>
          <w:color w:val="000000"/>
          <w:kern w:val="0"/>
          <w:sz w:val="32"/>
          <w:szCs w:val="32"/>
        </w:rPr>
      </w:pPr>
      <w:r>
        <w:rPr>
          <w:rFonts w:ascii="Calibri" w:eastAsia="仿宋_GB2312" w:hAnsi="Calibri" w:cs="仿宋_GB2312"/>
          <w:color w:val="000000"/>
          <w:kern w:val="0"/>
          <w:sz w:val="32"/>
          <w:szCs w:val="32"/>
        </w:rPr>
        <w:t xml:space="preserve">    </w:t>
      </w:r>
      <w:r>
        <w:rPr>
          <w:rFonts w:ascii="Calibri" w:eastAsia="仿宋_GB2312" w:hAnsi="Calibri" w:cs="仿宋_GB2312" w:hint="eastAsia"/>
          <w:snapToGrid w:val="0"/>
          <w:color w:val="000000"/>
          <w:kern w:val="0"/>
          <w:sz w:val="32"/>
          <w:szCs w:val="32"/>
        </w:rPr>
        <w:t>（一）符合相关门特病的认定标准；</w:t>
      </w:r>
    </w:p>
    <w:p w:rsidR="0059773C" w:rsidRDefault="00B8713F">
      <w:pPr>
        <w:spacing w:line="578" w:lineRule="exact"/>
        <w:rPr>
          <w:rFonts w:ascii="Calibri" w:eastAsia="仿宋_GB2312" w:hAnsi="Calibri" w:cs="仿宋_GB2312"/>
          <w:snapToGrid w:val="0"/>
          <w:color w:val="000000"/>
          <w:kern w:val="0"/>
          <w:sz w:val="32"/>
          <w:szCs w:val="32"/>
        </w:rPr>
      </w:pPr>
      <w:r>
        <w:rPr>
          <w:rFonts w:ascii="Calibri" w:eastAsia="仿宋_GB2312" w:hAnsi="Calibri" w:cs="仿宋_GB2312"/>
          <w:color w:val="000000"/>
          <w:kern w:val="0"/>
          <w:sz w:val="32"/>
          <w:szCs w:val="32"/>
        </w:rPr>
        <w:t xml:space="preserve">    </w:t>
      </w:r>
      <w:r>
        <w:rPr>
          <w:rFonts w:ascii="Calibri" w:eastAsia="仿宋_GB2312" w:hAnsi="Calibri" w:cs="仿宋_GB2312" w:hint="eastAsia"/>
          <w:snapToGrid w:val="0"/>
          <w:color w:val="000000"/>
          <w:kern w:val="0"/>
          <w:sz w:val="32"/>
          <w:szCs w:val="32"/>
        </w:rPr>
        <w:t>（二）有明确的三级医疗机构诊断证明材料；</w:t>
      </w:r>
    </w:p>
    <w:p w:rsidR="0059773C" w:rsidRDefault="00B8713F">
      <w:pPr>
        <w:spacing w:line="578" w:lineRule="exact"/>
        <w:ind w:firstLineChars="200" w:firstLine="64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（三）在认定机构本院内有所申请认定的门特病手术史或一</w:t>
      </w:r>
      <w:r>
        <w:rPr>
          <w:rFonts w:ascii="Calibri" w:eastAsia="仿宋_GB2312" w:hAnsi="Calibri" w:cs="仿宋_GB2312" w:hint="eastAsia"/>
          <w:snapToGrid w:val="0"/>
          <w:color w:val="000000"/>
          <w:kern w:val="0"/>
          <w:sz w:val="32"/>
          <w:szCs w:val="32"/>
        </w:rPr>
        <w:lastRenderedPageBreak/>
        <w:t>年内住院治疗记录；</w:t>
      </w:r>
    </w:p>
    <w:p w:rsidR="0059773C" w:rsidRDefault="00B8713F">
      <w:pPr>
        <w:spacing w:line="578" w:lineRule="exact"/>
        <w:ind w:firstLineChars="200" w:firstLine="640"/>
        <w:rPr>
          <w:rFonts w:ascii="Calibri" w:eastAsia="仿宋_GB2312" w:hAnsi="Calibri" w:cs="仿宋_GB2312"/>
          <w:snapToGrid w:val="0"/>
          <w:color w:val="000000"/>
          <w:kern w:val="0"/>
          <w:sz w:val="32"/>
          <w:szCs w:val="32"/>
        </w:rPr>
      </w:pPr>
      <w:r>
        <w:rPr>
          <w:rFonts w:ascii="Calibri" w:eastAsia="仿宋_GB2312" w:hAnsi="Calibri" w:cs="仿宋_GB2312" w:hint="eastAsia"/>
          <w:snapToGrid w:val="0"/>
          <w:color w:val="000000"/>
          <w:kern w:val="0"/>
          <w:sz w:val="32"/>
          <w:szCs w:val="32"/>
        </w:rPr>
        <w:t>（四）能够完整提供认定资料中规定的相关医学材料，无需补充进行检查检验。</w:t>
      </w:r>
    </w:p>
    <w:p w:rsidR="0059773C" w:rsidRDefault="00B8713F">
      <w:pPr>
        <w:spacing w:line="578" w:lineRule="exact"/>
        <w:ind w:firstLine="636"/>
        <w:rPr>
          <w:rFonts w:eastAsia="仿宋_GB2312"/>
          <w:snapToGrid w:val="0"/>
          <w:color w:val="000000"/>
          <w:kern w:val="0"/>
          <w:sz w:val="32"/>
          <w:szCs w:val="32"/>
        </w:rPr>
      </w:pPr>
      <w:r>
        <w:rPr>
          <w:rFonts w:ascii="黑体" w:eastAsia="黑体" w:hint="eastAsia"/>
          <w:color w:val="000000"/>
          <w:sz w:val="32"/>
          <w:szCs w:val="32"/>
        </w:rPr>
        <w:t>第十四条</w:t>
      </w:r>
      <w:r>
        <w:rPr>
          <w:rFonts w:eastAsia="仿宋_GB2312"/>
          <w:color w:val="000000"/>
          <w:sz w:val="32"/>
          <w:szCs w:val="32"/>
        </w:rPr>
        <w:t xml:space="preserve"> </w:t>
      </w:r>
      <w:r>
        <w:rPr>
          <w:rFonts w:eastAsia="仿宋_GB2312" w:hint="eastAsia"/>
          <w:color w:val="000000"/>
          <w:sz w:val="32"/>
          <w:szCs w:val="32"/>
        </w:rPr>
        <w:t>适用一般认定程序的参保人员，可在门诊就医</w:t>
      </w:r>
      <w:r>
        <w:rPr>
          <w:rFonts w:ascii="Calibri" w:eastAsia="仿宋_GB2312" w:hAnsi="Calibri" w:cs="仿宋_GB2312" w:hint="eastAsia"/>
          <w:color w:val="000000"/>
          <w:sz w:val="32"/>
          <w:szCs w:val="32"/>
        </w:rPr>
        <w:t>或出院时</w:t>
      </w:r>
      <w:r>
        <w:rPr>
          <w:rFonts w:eastAsia="仿宋_GB2312" w:hint="eastAsia"/>
          <w:color w:val="000000"/>
          <w:sz w:val="32"/>
          <w:szCs w:val="32"/>
        </w:rPr>
        <w:t>提交相关认定材料（包括诊断证明、住院病历、相关检查检验材料等）。认定机构</w:t>
      </w:r>
      <w:r>
        <w:rPr>
          <w:rFonts w:ascii="Calibri" w:eastAsia="仿宋_GB2312" w:hAnsi="Calibri" w:hint="eastAsia"/>
          <w:snapToGrid w:val="0"/>
          <w:color w:val="000000"/>
          <w:kern w:val="0"/>
          <w:sz w:val="32"/>
          <w:szCs w:val="32"/>
        </w:rPr>
        <w:t>通过本院</w:t>
      </w:r>
      <w:r>
        <w:rPr>
          <w:rFonts w:ascii="Calibri" w:eastAsia="仿宋_GB2312" w:hAnsi="Calibri"/>
          <w:snapToGrid w:val="0"/>
          <w:color w:val="000000"/>
          <w:kern w:val="0"/>
          <w:sz w:val="32"/>
          <w:szCs w:val="32"/>
        </w:rPr>
        <w:t>HIS</w:t>
      </w:r>
      <w:r>
        <w:rPr>
          <w:rFonts w:ascii="Calibri" w:eastAsia="仿宋_GB2312" w:hAnsi="Calibri" w:hint="eastAsia"/>
          <w:snapToGrid w:val="0"/>
          <w:color w:val="000000"/>
          <w:kern w:val="0"/>
          <w:sz w:val="32"/>
          <w:szCs w:val="32"/>
        </w:rPr>
        <w:t>系统等核验相关住院病历、检查检验报告等真实性；</w:t>
      </w:r>
      <w:r>
        <w:rPr>
          <w:rFonts w:eastAsia="仿宋_GB2312" w:hint="eastAsia"/>
          <w:color w:val="000000"/>
          <w:sz w:val="32"/>
          <w:szCs w:val="32"/>
        </w:rPr>
        <w:t>认定医师</w:t>
      </w:r>
      <w:r>
        <w:rPr>
          <w:rFonts w:ascii="Calibri" w:eastAsia="仿宋_GB2312" w:hAnsi="Calibri" w:cs="仿宋_GB2312" w:hint="eastAsia"/>
          <w:snapToGrid w:val="0"/>
          <w:color w:val="000000"/>
          <w:kern w:val="0"/>
          <w:sz w:val="32"/>
          <w:szCs w:val="32"/>
        </w:rPr>
        <w:t>通过询问病史、现场查体、审核材料等方式</w:t>
      </w:r>
      <w:r>
        <w:rPr>
          <w:rFonts w:eastAsia="仿宋_GB2312" w:hint="eastAsia"/>
          <w:color w:val="000000"/>
          <w:sz w:val="32"/>
          <w:szCs w:val="32"/>
        </w:rPr>
        <w:t>即时进行</w:t>
      </w:r>
      <w:r>
        <w:rPr>
          <w:rFonts w:ascii="Calibri" w:eastAsia="仿宋_GB2312" w:hAnsi="Calibri" w:cs="仿宋_GB2312" w:hint="eastAsia"/>
          <w:snapToGrid w:val="0"/>
          <w:color w:val="000000"/>
          <w:kern w:val="0"/>
          <w:sz w:val="32"/>
          <w:szCs w:val="32"/>
        </w:rPr>
        <w:t>认定登记（包括认定通过和不通过，下同）。参保人员认定登记信息由</w:t>
      </w:r>
      <w:r>
        <w:rPr>
          <w:rFonts w:ascii="Calibri" w:eastAsia="仿宋_GB2312" w:hAnsi="Calibri" w:cs="Calibri"/>
          <w:snapToGrid w:val="0"/>
          <w:color w:val="000000"/>
          <w:kern w:val="0"/>
          <w:sz w:val="32"/>
          <w:szCs w:val="32"/>
        </w:rPr>
        <w:t>2</w:t>
      </w:r>
      <w:r>
        <w:rPr>
          <w:rFonts w:ascii="Calibri" w:eastAsia="仿宋_GB2312" w:hAnsi="Calibri" w:cs="仿宋_GB2312" w:hint="eastAsia"/>
          <w:snapToGrid w:val="0"/>
          <w:color w:val="000000"/>
          <w:kern w:val="0"/>
          <w:sz w:val="32"/>
          <w:szCs w:val="32"/>
        </w:rPr>
        <w:t>名认定医师签字后，认定机构将登记信息上传至医保系统。</w:t>
      </w:r>
      <w:r>
        <w:rPr>
          <w:rFonts w:eastAsia="仿宋_GB2312" w:hint="eastAsia"/>
          <w:snapToGrid w:val="0"/>
          <w:color w:val="000000"/>
          <w:kern w:val="0"/>
          <w:sz w:val="32"/>
          <w:szCs w:val="32"/>
        </w:rPr>
        <w:t>认定机构应按规定对认定相关材料留档备查。</w:t>
      </w:r>
    </w:p>
    <w:p w:rsidR="0059773C" w:rsidRDefault="00B8713F">
      <w:pPr>
        <w:spacing w:line="578" w:lineRule="exact"/>
        <w:ind w:firstLine="636"/>
        <w:rPr>
          <w:rFonts w:ascii="Calibri" w:eastAsia="黑体" w:hAnsi="Calibri" w:cs="Calibri"/>
          <w:snapToGrid w:val="0"/>
          <w:color w:val="000000"/>
          <w:kern w:val="0"/>
          <w:sz w:val="32"/>
          <w:szCs w:val="32"/>
        </w:rPr>
      </w:pPr>
      <w:r>
        <w:rPr>
          <w:rFonts w:ascii="黑体" w:eastAsia="黑体" w:cs="黑体" w:hint="eastAsia"/>
          <w:color w:val="000000"/>
          <w:sz w:val="32"/>
          <w:szCs w:val="32"/>
        </w:rPr>
        <w:t>第十五条</w:t>
      </w:r>
      <w:r>
        <w:rPr>
          <w:rFonts w:eastAsia="仿宋_GB2312"/>
          <w:color w:val="000000"/>
          <w:sz w:val="32"/>
          <w:szCs w:val="32"/>
        </w:rPr>
        <w:t xml:space="preserve"> </w:t>
      </w:r>
      <w:r>
        <w:rPr>
          <w:rFonts w:eastAsia="仿宋_GB2312" w:hint="eastAsia"/>
          <w:color w:val="000000"/>
          <w:sz w:val="32"/>
          <w:szCs w:val="32"/>
        </w:rPr>
        <w:t>除适用一般认定程序外的其他</w:t>
      </w:r>
      <w:r>
        <w:rPr>
          <w:rFonts w:ascii="Calibri" w:eastAsia="仿宋_GB2312" w:hAnsi="Calibri" w:cs="仿宋_GB2312" w:hint="eastAsia"/>
          <w:snapToGrid w:val="0"/>
          <w:color w:val="000000"/>
          <w:kern w:val="0"/>
          <w:sz w:val="32"/>
          <w:szCs w:val="32"/>
        </w:rPr>
        <w:t>患有门特病的</w:t>
      </w:r>
      <w:r>
        <w:rPr>
          <w:rFonts w:eastAsia="仿宋_GB2312" w:hint="eastAsia"/>
          <w:color w:val="000000"/>
          <w:sz w:val="32"/>
          <w:szCs w:val="32"/>
        </w:rPr>
        <w:t>参保人员，</w:t>
      </w:r>
      <w:r>
        <w:rPr>
          <w:rFonts w:eastAsia="仿宋_GB2312"/>
          <w:color w:val="000000"/>
          <w:sz w:val="32"/>
          <w:szCs w:val="32"/>
        </w:rPr>
        <w:t>认定机构</w:t>
      </w:r>
      <w:r>
        <w:rPr>
          <w:rFonts w:eastAsia="仿宋_GB2312" w:hint="eastAsia"/>
          <w:color w:val="000000"/>
          <w:sz w:val="32"/>
          <w:szCs w:val="32"/>
        </w:rPr>
        <w:t>按照以下专门认定程序</w:t>
      </w:r>
      <w:r>
        <w:rPr>
          <w:rFonts w:ascii="Calibri" w:eastAsia="仿宋_GB2312" w:hAnsi="Calibri" w:cs="仿宋_GB2312" w:hint="eastAsia"/>
          <w:snapToGrid w:val="0"/>
          <w:color w:val="000000"/>
          <w:kern w:val="0"/>
          <w:sz w:val="32"/>
          <w:szCs w:val="32"/>
        </w:rPr>
        <w:t>进行门特病认定</w:t>
      </w:r>
      <w:r>
        <w:rPr>
          <w:rFonts w:eastAsia="仿宋_GB2312" w:hint="eastAsia"/>
          <w:color w:val="000000"/>
          <w:sz w:val="32"/>
          <w:szCs w:val="32"/>
        </w:rPr>
        <w:t>：</w:t>
      </w:r>
    </w:p>
    <w:p w:rsidR="0059773C" w:rsidRDefault="00B8713F">
      <w:pPr>
        <w:spacing w:line="578" w:lineRule="exact"/>
        <w:ind w:firstLine="636"/>
        <w:rPr>
          <w:rFonts w:ascii="Calibri" w:eastAsia="仿宋_GB2312" w:hAnsi="Calibri" w:cs="Calibri"/>
          <w:snapToGrid w:val="0"/>
          <w:color w:val="000000"/>
          <w:kern w:val="0"/>
          <w:sz w:val="32"/>
          <w:szCs w:val="32"/>
        </w:rPr>
      </w:pPr>
      <w:r>
        <w:rPr>
          <w:rFonts w:ascii="楷体" w:eastAsia="楷体" w:cs="楷体" w:hint="eastAsia"/>
          <w:snapToGrid w:val="0"/>
          <w:color w:val="000000"/>
          <w:kern w:val="0"/>
          <w:sz w:val="32"/>
          <w:szCs w:val="32"/>
        </w:rPr>
        <w:t>（一）申请。</w:t>
      </w:r>
      <w:r>
        <w:rPr>
          <w:rFonts w:ascii="Calibri" w:eastAsia="仿宋_GB2312" w:hAnsi="Calibri" w:cs="仿宋_GB2312" w:hint="eastAsia"/>
          <w:snapToGrid w:val="0"/>
          <w:color w:val="000000"/>
          <w:kern w:val="0"/>
          <w:sz w:val="32"/>
          <w:szCs w:val="32"/>
        </w:rPr>
        <w:t>参保人员本人或监护人向认定机构提出门特病认定申请，并按规定提交认定申请表、病历、诊断证明、检查检验报告等相关材料，确保真实有效。</w:t>
      </w:r>
      <w:r>
        <w:rPr>
          <w:rFonts w:ascii="Calibri" w:eastAsia="仿宋_GB2312" w:hAnsi="Calibri" w:cs="仿宋_GB2312"/>
          <w:snapToGrid w:val="0"/>
          <w:color w:val="000000"/>
          <w:kern w:val="0"/>
          <w:sz w:val="32"/>
          <w:szCs w:val="32"/>
        </w:rPr>
        <w:t>医疗保障</w:t>
      </w:r>
      <w:r>
        <w:rPr>
          <w:rFonts w:ascii="Calibri" w:eastAsia="仿宋_GB2312" w:hAnsi="Calibri" w:cs="仿宋_GB2312" w:hint="eastAsia"/>
          <w:snapToGrid w:val="0"/>
          <w:color w:val="000000"/>
          <w:kern w:val="0"/>
          <w:sz w:val="32"/>
          <w:szCs w:val="32"/>
        </w:rPr>
        <w:t>经办机构应当逐步建立线上渠道，方便参保人员线上向认定机构提交申请。</w:t>
      </w:r>
    </w:p>
    <w:p w:rsidR="0059773C" w:rsidRDefault="00B8713F">
      <w:pPr>
        <w:spacing w:line="578" w:lineRule="exact"/>
        <w:ind w:firstLine="630"/>
        <w:rPr>
          <w:rFonts w:ascii="Calibri" w:eastAsia="仿宋_GB2312" w:hAnsi="Calibri" w:cs="Calibri"/>
          <w:snapToGrid w:val="0"/>
          <w:color w:val="000000"/>
          <w:kern w:val="0"/>
          <w:sz w:val="32"/>
          <w:szCs w:val="32"/>
        </w:rPr>
      </w:pPr>
      <w:r>
        <w:rPr>
          <w:rFonts w:ascii="楷体" w:eastAsia="楷体" w:cs="楷体" w:hint="eastAsia"/>
          <w:snapToGrid w:val="0"/>
          <w:color w:val="000000"/>
          <w:kern w:val="0"/>
          <w:sz w:val="32"/>
          <w:szCs w:val="32"/>
        </w:rPr>
        <w:t>（二）受理。</w:t>
      </w:r>
      <w:r>
        <w:rPr>
          <w:rFonts w:ascii="Calibri" w:eastAsia="仿宋_GB2312" w:hAnsi="Calibri" w:cs="仿宋_GB2312" w:hint="eastAsia"/>
          <w:snapToGrid w:val="0"/>
          <w:color w:val="000000"/>
          <w:kern w:val="0"/>
          <w:sz w:val="32"/>
          <w:szCs w:val="32"/>
        </w:rPr>
        <w:t>认定机构收到参保人员提交的认定材料后，应安排专门力量对认定材料的完整性进行核查，对于材料齐全的应予以受理，并告知参保人员认定时间安排；对于材料不全的应一次性予以告知补齐。</w:t>
      </w:r>
      <w:r>
        <w:rPr>
          <w:rFonts w:ascii="Calibri" w:eastAsia="仿宋_GB2312" w:hAnsi="Calibri" w:cs="仿宋_GB2312"/>
          <w:snapToGrid w:val="0"/>
          <w:color w:val="000000"/>
          <w:kern w:val="0"/>
          <w:sz w:val="32"/>
          <w:szCs w:val="32"/>
        </w:rPr>
        <w:t>医疗保障</w:t>
      </w:r>
      <w:r>
        <w:rPr>
          <w:rFonts w:ascii="Calibri" w:eastAsia="仿宋_GB2312" w:hAnsi="Calibri" w:cs="仿宋_GB2312" w:hint="eastAsia"/>
          <w:snapToGrid w:val="0"/>
          <w:color w:val="000000"/>
          <w:kern w:val="0"/>
          <w:sz w:val="32"/>
          <w:szCs w:val="32"/>
        </w:rPr>
        <w:t>经办机构应为认定机构开通线上核验渠道，通过医保系统核验申请人住院记录、检查检验等真实性情况。</w:t>
      </w:r>
    </w:p>
    <w:p w:rsidR="0059773C" w:rsidRDefault="00B8713F">
      <w:pPr>
        <w:spacing w:line="578" w:lineRule="exact"/>
        <w:ind w:firstLine="630"/>
        <w:rPr>
          <w:rFonts w:ascii="Calibri" w:eastAsia="仿宋_GB2312" w:hAnsi="Calibri" w:cs="Calibri"/>
          <w:snapToGrid w:val="0"/>
          <w:color w:val="000000"/>
          <w:kern w:val="0"/>
          <w:sz w:val="32"/>
          <w:szCs w:val="32"/>
        </w:rPr>
      </w:pPr>
      <w:r>
        <w:rPr>
          <w:rFonts w:ascii="楷体" w:eastAsia="楷体" w:cs="楷体" w:hint="eastAsia"/>
          <w:snapToGrid w:val="0"/>
          <w:color w:val="000000"/>
          <w:kern w:val="0"/>
          <w:sz w:val="32"/>
          <w:szCs w:val="32"/>
        </w:rPr>
        <w:t>（三）审核。</w:t>
      </w:r>
      <w:r>
        <w:rPr>
          <w:rFonts w:ascii="Calibri" w:eastAsia="仿宋_GB2312" w:hAnsi="Calibri" w:cs="仿宋_GB2312" w:hint="eastAsia"/>
          <w:snapToGrid w:val="0"/>
          <w:color w:val="000000"/>
          <w:kern w:val="0"/>
          <w:sz w:val="32"/>
          <w:szCs w:val="32"/>
        </w:rPr>
        <w:t>参保人员根据</w:t>
      </w:r>
      <w:r>
        <w:rPr>
          <w:rFonts w:ascii="Calibri" w:eastAsia="仿宋_GB2312" w:hAnsi="Calibri" w:cs="仿宋_GB2312" w:hint="eastAsia"/>
          <w:snapToGrid w:val="0"/>
          <w:color w:val="000000"/>
          <w:kern w:val="0"/>
          <w:sz w:val="32"/>
          <w:szCs w:val="32"/>
        </w:rPr>
        <w:t>认定机构时间安排，到认定机构</w:t>
      </w:r>
      <w:r>
        <w:rPr>
          <w:rFonts w:ascii="Calibri" w:eastAsia="仿宋_GB2312" w:hAnsi="Calibri" w:cs="仿宋_GB2312" w:hint="eastAsia"/>
          <w:snapToGrid w:val="0"/>
          <w:color w:val="000000"/>
          <w:kern w:val="0"/>
          <w:sz w:val="32"/>
          <w:szCs w:val="32"/>
        </w:rPr>
        <w:lastRenderedPageBreak/>
        <w:t>指定的</w:t>
      </w:r>
      <w:r>
        <w:rPr>
          <w:rFonts w:eastAsia="仿宋_GB2312" w:hint="eastAsia"/>
          <w:snapToGrid w:val="0"/>
          <w:color w:val="000000"/>
          <w:kern w:val="0"/>
          <w:sz w:val="32"/>
          <w:szCs w:val="32"/>
        </w:rPr>
        <w:t>认定场所，按认定标准补充进行相关检查检验。</w:t>
      </w:r>
      <w:r>
        <w:rPr>
          <w:rFonts w:ascii="Calibri" w:eastAsia="仿宋_GB2312" w:hAnsi="Calibri" w:cs="仿宋_GB2312" w:hint="eastAsia"/>
          <w:color w:val="000000"/>
          <w:sz w:val="32"/>
          <w:szCs w:val="32"/>
        </w:rPr>
        <w:t>待相关检查检验完成后，</w:t>
      </w:r>
      <w:r>
        <w:rPr>
          <w:rFonts w:eastAsia="仿宋_GB2312" w:hint="eastAsia"/>
          <w:snapToGrid w:val="0"/>
          <w:color w:val="000000"/>
          <w:kern w:val="0"/>
          <w:sz w:val="32"/>
          <w:szCs w:val="32"/>
        </w:rPr>
        <w:t>认定机</w:t>
      </w:r>
      <w:r>
        <w:rPr>
          <w:rFonts w:ascii="Calibri" w:eastAsia="仿宋_GB2312" w:hAnsi="Calibri" w:cs="仿宋_GB2312" w:hint="eastAsia"/>
          <w:snapToGrid w:val="0"/>
          <w:color w:val="000000"/>
          <w:kern w:val="0"/>
          <w:sz w:val="32"/>
          <w:szCs w:val="32"/>
        </w:rPr>
        <w:t>构认定医师通过询问病史、现场查体、审核材料等方式，予以认定登记，并由</w:t>
      </w:r>
      <w:r>
        <w:rPr>
          <w:rFonts w:ascii="Calibri" w:eastAsia="仿宋_GB2312" w:hAnsi="Calibri" w:cs="Calibri"/>
          <w:snapToGrid w:val="0"/>
          <w:color w:val="000000"/>
          <w:kern w:val="0"/>
          <w:sz w:val="32"/>
          <w:szCs w:val="32"/>
        </w:rPr>
        <w:t>2</w:t>
      </w:r>
      <w:r>
        <w:rPr>
          <w:rFonts w:ascii="Calibri" w:eastAsia="仿宋_GB2312" w:hAnsi="Calibri" w:cs="仿宋_GB2312" w:hint="eastAsia"/>
          <w:snapToGrid w:val="0"/>
          <w:color w:val="000000"/>
          <w:kern w:val="0"/>
          <w:sz w:val="32"/>
          <w:szCs w:val="32"/>
        </w:rPr>
        <w:t>名认定医师对认定登记信息签字后上传至医保系统。</w:t>
      </w:r>
    </w:p>
    <w:p w:rsidR="0059773C" w:rsidRDefault="00B8713F">
      <w:pPr>
        <w:spacing w:line="578" w:lineRule="exact"/>
        <w:ind w:firstLine="636"/>
        <w:rPr>
          <w:rFonts w:eastAsia="仿宋_GB2312"/>
          <w:snapToGrid w:val="0"/>
          <w:color w:val="000000"/>
          <w:kern w:val="0"/>
          <w:sz w:val="32"/>
          <w:szCs w:val="32"/>
        </w:rPr>
      </w:pPr>
      <w:r>
        <w:rPr>
          <w:rFonts w:ascii="楷体" w:eastAsia="楷体" w:cs="楷体" w:hint="eastAsia"/>
          <w:snapToGrid w:val="0"/>
          <w:color w:val="000000"/>
          <w:kern w:val="0"/>
          <w:sz w:val="32"/>
          <w:szCs w:val="32"/>
        </w:rPr>
        <w:t>（四）办结。</w:t>
      </w:r>
      <w:r>
        <w:rPr>
          <w:rFonts w:eastAsia="仿宋_GB2312" w:hint="eastAsia"/>
          <w:snapToGrid w:val="0"/>
          <w:color w:val="000000"/>
          <w:kern w:val="0"/>
          <w:sz w:val="32"/>
          <w:szCs w:val="32"/>
        </w:rPr>
        <w:t>参保人员应通过</w:t>
      </w:r>
      <w:r>
        <w:rPr>
          <w:rFonts w:ascii="仿宋_GB2312" w:eastAsia="仿宋_GB2312" w:hint="eastAsia"/>
          <w:snapToGrid w:val="0"/>
          <w:color w:val="000000"/>
          <w:kern w:val="0"/>
          <w:sz w:val="32"/>
          <w:szCs w:val="32"/>
        </w:rPr>
        <w:t>“津医保”、认定机构等查询认定结果</w:t>
      </w:r>
      <w:r>
        <w:rPr>
          <w:rFonts w:eastAsia="仿宋_GB2312" w:hint="eastAsia"/>
          <w:snapToGrid w:val="0"/>
          <w:color w:val="000000"/>
          <w:kern w:val="0"/>
          <w:sz w:val="32"/>
          <w:szCs w:val="32"/>
        </w:rPr>
        <w:t>。认定机构应按规定将认定相关材料留档备查。自受理开始，认定机构办结时限不得超过</w:t>
      </w:r>
      <w:r>
        <w:rPr>
          <w:rFonts w:eastAsia="仿宋_GB2312"/>
          <w:snapToGrid w:val="0"/>
          <w:color w:val="000000"/>
          <w:kern w:val="0"/>
          <w:sz w:val="32"/>
          <w:szCs w:val="32"/>
        </w:rPr>
        <w:t>20</w:t>
      </w:r>
      <w:r>
        <w:rPr>
          <w:rFonts w:eastAsia="仿宋_GB2312" w:hint="eastAsia"/>
          <w:snapToGrid w:val="0"/>
          <w:color w:val="000000"/>
          <w:kern w:val="0"/>
          <w:sz w:val="32"/>
          <w:szCs w:val="32"/>
        </w:rPr>
        <w:t>个工作日。</w:t>
      </w:r>
    </w:p>
    <w:p w:rsidR="0059773C" w:rsidRDefault="00B8713F">
      <w:pPr>
        <w:pStyle w:val="a8"/>
        <w:widowControl w:val="0"/>
        <w:adjustRightInd w:val="0"/>
        <w:spacing w:before="0" w:beforeAutospacing="0" w:after="0" w:afterAutospacing="0" w:line="578" w:lineRule="exact"/>
        <w:ind w:firstLine="637"/>
        <w:jc w:val="both"/>
        <w:rPr>
          <w:rFonts w:eastAsia="仿宋_GB2312" w:hAnsi="宋体"/>
          <w:b/>
          <w:bCs/>
          <w:snapToGrid w:val="0"/>
          <w:color w:val="000000"/>
          <w:sz w:val="32"/>
          <w:szCs w:val="32"/>
          <w:highlight w:val="yellow"/>
        </w:rPr>
      </w:pPr>
      <w:r>
        <w:rPr>
          <w:rFonts w:ascii="黑体" w:eastAsia="黑体" w:cs="黑体" w:hint="eastAsia"/>
          <w:snapToGrid w:val="0"/>
          <w:color w:val="000000"/>
          <w:sz w:val="32"/>
          <w:szCs w:val="32"/>
        </w:rPr>
        <w:t>第十六条</w:t>
      </w:r>
      <w:r>
        <w:rPr>
          <w:rFonts w:eastAsia="仿宋_GB2312" w:hAnsi="宋体" w:hint="eastAsia"/>
          <w:snapToGrid w:val="0"/>
          <w:color w:val="000000"/>
          <w:sz w:val="32"/>
          <w:szCs w:val="32"/>
        </w:rPr>
        <w:t xml:space="preserve"> </w:t>
      </w:r>
      <w:r>
        <w:rPr>
          <w:rFonts w:eastAsia="仿宋_GB2312" w:hAnsi="宋体" w:cs="仿宋_GB2312" w:hint="eastAsia"/>
          <w:snapToGrid w:val="0"/>
          <w:color w:val="000000"/>
          <w:sz w:val="32"/>
          <w:szCs w:val="32"/>
        </w:rPr>
        <w:t>参保人员经认定机构认定不符合认定标准的可在认定结论出</w:t>
      </w:r>
      <w:r>
        <w:rPr>
          <w:rFonts w:ascii="Times New Roman" w:eastAsia="仿宋_GB2312" w:cs="仿宋_GB2312" w:hint="eastAsia"/>
          <w:snapToGrid w:val="0"/>
          <w:color w:val="000000"/>
          <w:sz w:val="32"/>
          <w:szCs w:val="32"/>
        </w:rPr>
        <w:t>具</w:t>
      </w:r>
      <w:r>
        <w:rPr>
          <w:rFonts w:ascii="Times New Roman" w:eastAsia="仿宋_GB2312" w:cs="仿宋_GB2312"/>
          <w:snapToGrid w:val="0"/>
          <w:color w:val="000000"/>
          <w:sz w:val="32"/>
          <w:szCs w:val="32"/>
        </w:rPr>
        <w:t>6</w:t>
      </w:r>
      <w:r>
        <w:rPr>
          <w:rFonts w:ascii="Times New Roman" w:eastAsia="仿宋_GB2312" w:cs="仿宋_GB2312" w:hint="eastAsia"/>
          <w:snapToGrid w:val="0"/>
          <w:color w:val="000000"/>
          <w:sz w:val="32"/>
          <w:szCs w:val="32"/>
        </w:rPr>
        <w:t>个月后</w:t>
      </w:r>
      <w:r>
        <w:rPr>
          <w:rFonts w:eastAsia="仿宋_GB2312" w:hAnsi="宋体" w:cs="仿宋_GB2312" w:hint="eastAsia"/>
          <w:snapToGrid w:val="0"/>
          <w:color w:val="000000"/>
          <w:sz w:val="32"/>
          <w:szCs w:val="32"/>
        </w:rPr>
        <w:t>重新提交认定申请。其中，在认定结论出具</w:t>
      </w:r>
      <w:r>
        <w:rPr>
          <w:rFonts w:ascii="Times New Roman" w:eastAsia="仿宋_GB2312" w:cs="仿宋_GB2312" w:hint="eastAsia"/>
          <w:color w:val="000000"/>
          <w:sz w:val="32"/>
          <w:szCs w:val="32"/>
        </w:rPr>
        <w:t>后</w:t>
      </w:r>
      <w:r>
        <w:rPr>
          <w:rFonts w:ascii="Times New Roman" w:eastAsia="仿宋_GB2312" w:cs="仿宋_GB2312"/>
          <w:color w:val="000000"/>
          <w:sz w:val="32"/>
          <w:szCs w:val="32"/>
        </w:rPr>
        <w:t>6</w:t>
      </w:r>
      <w:r>
        <w:rPr>
          <w:rFonts w:ascii="Times New Roman" w:eastAsia="仿宋_GB2312" w:cs="仿宋_GB2312" w:hint="eastAsia"/>
          <w:color w:val="000000"/>
          <w:sz w:val="32"/>
          <w:szCs w:val="32"/>
        </w:rPr>
        <w:t>个</w:t>
      </w:r>
      <w:r>
        <w:rPr>
          <w:rFonts w:ascii="Times New Roman" w:eastAsia="仿宋_GB2312" w:cs="仿宋_GB2312" w:hint="eastAsia"/>
          <w:snapToGrid w:val="0"/>
          <w:color w:val="000000"/>
          <w:sz w:val="32"/>
          <w:szCs w:val="32"/>
        </w:rPr>
        <w:t>月内</w:t>
      </w:r>
      <w:r>
        <w:rPr>
          <w:rFonts w:eastAsia="仿宋_GB2312" w:hAnsi="宋体" w:cs="仿宋_GB2312" w:hint="eastAsia"/>
          <w:snapToGrid w:val="0"/>
          <w:color w:val="000000"/>
          <w:sz w:val="32"/>
          <w:szCs w:val="32"/>
        </w:rPr>
        <w:t>出现病情加重或新的并发症，能够提供相关疾病加重或新并发症的新住院病历（包括首页、入院记录、出院记录等）等相关材料，可向本市复查鉴定机构提出复查鉴定申请，复查鉴定时补充检查检验发生的相关费用按照本市普通门诊有关规定报销，符合认定标准的进行门特登记。复查鉴定按照专门认定程序进行。</w:t>
      </w:r>
    </w:p>
    <w:p w:rsidR="0059773C" w:rsidRDefault="00B8713F">
      <w:pPr>
        <w:pStyle w:val="a8"/>
        <w:widowControl w:val="0"/>
        <w:spacing w:before="0" w:beforeAutospacing="0" w:after="0" w:afterAutospacing="0" w:line="578" w:lineRule="exact"/>
        <w:ind w:firstLine="629"/>
        <w:jc w:val="both"/>
        <w:rPr>
          <w:rFonts w:ascii="Calibri" w:eastAsia="仿宋_GB2312" w:hAnsi="Calibri" w:cs="仿宋_GB2312"/>
          <w:snapToGrid w:val="0"/>
          <w:color w:val="000000"/>
          <w:sz w:val="32"/>
          <w:szCs w:val="32"/>
        </w:rPr>
      </w:pPr>
      <w:r>
        <w:rPr>
          <w:rFonts w:ascii="黑体" w:eastAsia="黑体" w:cs="黑体" w:hint="eastAsia"/>
          <w:snapToGrid w:val="0"/>
          <w:color w:val="000000"/>
          <w:sz w:val="32"/>
          <w:szCs w:val="32"/>
        </w:rPr>
        <w:t>第十七条</w:t>
      </w:r>
      <w:r>
        <w:rPr>
          <w:rFonts w:ascii="Calibri" w:eastAsia="仿宋_GB2312" w:hAnsi="Calibri" w:cs="Calibri"/>
          <w:snapToGrid w:val="0"/>
          <w:color w:val="000000"/>
          <w:sz w:val="32"/>
          <w:szCs w:val="32"/>
        </w:rPr>
        <w:t xml:space="preserve"> </w:t>
      </w:r>
      <w:r>
        <w:rPr>
          <w:rFonts w:ascii="Calibri" w:eastAsia="仿宋_GB2312" w:hAnsi="Calibri" w:cs="仿宋_GB2312" w:hint="eastAsia"/>
          <w:snapToGrid w:val="0"/>
          <w:color w:val="000000"/>
          <w:sz w:val="32"/>
          <w:szCs w:val="32"/>
        </w:rPr>
        <w:t>市医疗保障行政执法机构、各区医疗保障行政部门发现参保人员在门特病办理及待遇享受过程中涉嫌存在违反医疗保障法律、法规、规章、规定等情形的，组织其到门特病复查鉴定机构复查鉴定。</w:t>
      </w:r>
    </w:p>
    <w:p w:rsidR="0059773C" w:rsidRDefault="00B8713F">
      <w:pPr>
        <w:pStyle w:val="a8"/>
        <w:widowControl w:val="0"/>
        <w:spacing w:before="0" w:beforeAutospacing="0" w:after="0" w:afterAutospacing="0" w:line="578" w:lineRule="exact"/>
        <w:ind w:firstLineChars="200" w:firstLine="640"/>
        <w:jc w:val="both"/>
        <w:rPr>
          <w:rFonts w:ascii="Calibri" w:eastAsia="仿宋_GB2312" w:hAnsi="Calibri" w:cs="Calibri"/>
          <w:snapToGrid w:val="0"/>
          <w:color w:val="000000"/>
          <w:sz w:val="32"/>
          <w:szCs w:val="32"/>
        </w:rPr>
      </w:pPr>
      <w:r>
        <w:rPr>
          <w:rFonts w:ascii="仿宋_GB2312" w:eastAsia="仿宋_GB2312" w:cs="Times New Roman" w:hint="eastAsia"/>
          <w:kern w:val="2"/>
          <w:sz w:val="32"/>
          <w:szCs w:val="32"/>
        </w:rPr>
        <w:t>医疗保障经办机构在经办管理过程中，发现参保人员涉嫌存在上述情形的，应当按照《市医保局关于进一步加强市区两级医疗保障基金使用行政执法工作的通知》（津医保局发〔</w:t>
      </w:r>
      <w:r>
        <w:rPr>
          <w:rFonts w:ascii="Times New Roman" w:eastAsia="仿宋_GB2312" w:cs="Times New Roman"/>
          <w:kern w:val="2"/>
          <w:sz w:val="32"/>
          <w:szCs w:val="32"/>
        </w:rPr>
        <w:t>2025</w:t>
      </w:r>
      <w:r>
        <w:rPr>
          <w:rFonts w:ascii="仿宋_GB2312" w:eastAsia="仿宋_GB2312" w:cs="Times New Roman" w:hint="eastAsia"/>
          <w:kern w:val="2"/>
          <w:sz w:val="32"/>
          <w:szCs w:val="32"/>
        </w:rPr>
        <w:t>〕</w:t>
      </w:r>
      <w:r>
        <w:rPr>
          <w:rFonts w:ascii="Times New Roman" w:eastAsia="仿宋_GB2312" w:cs="Times New Roman"/>
          <w:kern w:val="2"/>
          <w:sz w:val="32"/>
          <w:szCs w:val="32"/>
        </w:rPr>
        <w:t>51</w:t>
      </w:r>
      <w:r>
        <w:rPr>
          <w:rFonts w:ascii="仿宋_GB2312" w:eastAsia="仿宋_GB2312" w:cs="Times New Roman" w:hint="eastAsia"/>
          <w:kern w:val="2"/>
          <w:sz w:val="32"/>
          <w:szCs w:val="32"/>
        </w:rPr>
        <w:t>号）相关规定转交医疗保障行政部门处理。</w:t>
      </w:r>
    </w:p>
    <w:p w:rsidR="0059773C" w:rsidRDefault="00B8713F">
      <w:pPr>
        <w:adjustRightInd w:val="0"/>
        <w:spacing w:line="578" w:lineRule="exact"/>
        <w:ind w:firstLineChars="200" w:firstLine="640"/>
        <w:rPr>
          <w:rFonts w:eastAsia="仿宋_GB2312" w:cs="仿宋_GB2312"/>
          <w:strike/>
          <w:color w:val="000000"/>
          <w:kern w:val="0"/>
          <w:sz w:val="32"/>
          <w:szCs w:val="32"/>
        </w:rPr>
      </w:pPr>
      <w:r>
        <w:rPr>
          <w:rFonts w:ascii="Calibri" w:eastAsia="黑体" w:hAnsi="Calibri" w:cs="黑体" w:hint="eastAsia"/>
          <w:snapToGrid w:val="0"/>
          <w:color w:val="000000"/>
          <w:kern w:val="0"/>
          <w:sz w:val="32"/>
          <w:szCs w:val="32"/>
        </w:rPr>
        <w:t>第十八条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异地安置退休人员、异地长期居住人员、常驻异</w:t>
      </w:r>
      <w:r>
        <w:rPr>
          <w:rFonts w:ascii="Calibri" w:eastAsia="仿宋_GB2312" w:hAnsi="Calibri" w:cs="仿宋_GB2312" w:hint="eastAsia"/>
          <w:snapToGrid w:val="0"/>
          <w:color w:val="000000"/>
          <w:kern w:val="0"/>
          <w:sz w:val="32"/>
          <w:szCs w:val="32"/>
        </w:rPr>
        <w:lastRenderedPageBreak/>
        <w:t>地工作人员在异地就医期间门特病认定，经其就医地最高级别定点医疗机构鉴诊，由医疗保障经办机构参照专门认定程序有关流程及标准执行。上述人员在本市定点医药机构享受门特报销的，需要按照一般认定程序重新办理门特认定，认定通过的享受门特病保障待遇；认定不通过的，</w:t>
      </w:r>
      <w:r>
        <w:rPr>
          <w:rFonts w:ascii="Calibri" w:eastAsia="仿宋_GB2312" w:hAnsi="Calibri" w:cs="仿宋_GB2312" w:hint="eastAsia"/>
          <w:snapToGrid w:val="0"/>
          <w:color w:val="000000"/>
          <w:kern w:val="0"/>
          <w:sz w:val="32"/>
          <w:szCs w:val="32"/>
        </w:rPr>
        <w:t>不能享受本市和异地就医门特医保保障待遇。</w:t>
      </w:r>
    </w:p>
    <w:p w:rsidR="0059773C" w:rsidRDefault="0059773C">
      <w:pPr>
        <w:adjustRightInd w:val="0"/>
        <w:spacing w:line="578" w:lineRule="exact"/>
        <w:rPr>
          <w:rFonts w:ascii="Calibri" w:eastAsia="黑体" w:hAnsi="Calibri" w:cs="Calibri"/>
          <w:snapToGrid w:val="0"/>
          <w:color w:val="000000"/>
          <w:kern w:val="0"/>
          <w:sz w:val="32"/>
          <w:szCs w:val="32"/>
        </w:rPr>
      </w:pPr>
    </w:p>
    <w:p w:rsidR="0059773C" w:rsidRDefault="00B8713F">
      <w:pPr>
        <w:spacing w:line="578" w:lineRule="exact"/>
        <w:jc w:val="center"/>
        <w:rPr>
          <w:rFonts w:ascii="Calibri" w:eastAsia="黑体" w:hAnsi="Calibri" w:cs="黑体"/>
          <w:snapToGrid w:val="0"/>
          <w:color w:val="000000"/>
          <w:kern w:val="0"/>
          <w:sz w:val="32"/>
          <w:szCs w:val="32"/>
        </w:rPr>
      </w:pPr>
      <w:r>
        <w:rPr>
          <w:rFonts w:ascii="Calibri" w:eastAsia="黑体" w:hAnsi="Calibri" w:cs="黑体" w:hint="eastAsia"/>
          <w:snapToGrid w:val="0"/>
          <w:color w:val="000000"/>
          <w:kern w:val="0"/>
          <w:sz w:val="32"/>
          <w:szCs w:val="32"/>
        </w:rPr>
        <w:t>第四章</w:t>
      </w:r>
      <w:r>
        <w:rPr>
          <w:rFonts w:ascii="Calibri" w:eastAsia="黑体" w:hAnsi="Calibri" w:cs="Calibri"/>
          <w:color w:val="000000"/>
          <w:kern w:val="0"/>
          <w:sz w:val="32"/>
          <w:szCs w:val="32"/>
        </w:rPr>
        <w:t xml:space="preserve">  </w:t>
      </w:r>
      <w:r>
        <w:rPr>
          <w:rFonts w:ascii="Calibri" w:eastAsia="黑体" w:hAnsi="Calibri" w:cs="黑体" w:hint="eastAsia"/>
          <w:snapToGrid w:val="0"/>
          <w:color w:val="000000"/>
          <w:kern w:val="0"/>
          <w:sz w:val="32"/>
          <w:szCs w:val="32"/>
        </w:rPr>
        <w:t>经办管理</w:t>
      </w:r>
    </w:p>
    <w:p w:rsidR="0059773C" w:rsidRDefault="00B8713F">
      <w:pPr>
        <w:spacing w:line="578" w:lineRule="exact"/>
        <w:ind w:firstLine="633"/>
        <w:rPr>
          <w:rFonts w:ascii="Calibri" w:eastAsia="仿宋_GB2312" w:hAnsi="Calibri" w:cs="Calibri"/>
          <w:snapToGrid w:val="0"/>
          <w:color w:val="000000"/>
          <w:kern w:val="0"/>
          <w:sz w:val="32"/>
          <w:szCs w:val="32"/>
        </w:rPr>
      </w:pPr>
      <w:r>
        <w:rPr>
          <w:rFonts w:ascii="Calibri" w:eastAsia="黑体" w:hAnsi="Calibri" w:cs="黑体" w:hint="eastAsia"/>
          <w:snapToGrid w:val="0"/>
          <w:color w:val="000000"/>
          <w:kern w:val="0"/>
          <w:sz w:val="32"/>
          <w:szCs w:val="32"/>
        </w:rPr>
        <w:t>第</w:t>
      </w:r>
      <w:r>
        <w:rPr>
          <w:rFonts w:ascii="Calibri" w:eastAsia="黑体" w:hAnsi="Calibri" w:cs="黑体"/>
          <w:snapToGrid w:val="0"/>
          <w:color w:val="000000"/>
          <w:kern w:val="0"/>
          <w:sz w:val="32"/>
          <w:szCs w:val="32"/>
        </w:rPr>
        <w:t>十九</w:t>
      </w:r>
      <w:r>
        <w:rPr>
          <w:rFonts w:ascii="Calibri" w:eastAsia="黑体" w:hAnsi="Calibri" w:cs="黑体" w:hint="eastAsia"/>
          <w:snapToGrid w:val="0"/>
          <w:color w:val="000000"/>
          <w:kern w:val="0"/>
          <w:sz w:val="32"/>
          <w:szCs w:val="32"/>
        </w:rPr>
        <w:t>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医疗保障经办机构与认定机构签订委托认定工作协议，加强对认定机构的协议管理，明确认定机构职责，规范办理时限、办理程序、办理要求、结果反馈、档案管理等。</w:t>
      </w:r>
    </w:p>
    <w:p w:rsidR="0059773C" w:rsidRDefault="00B8713F">
      <w:pPr>
        <w:spacing w:line="578" w:lineRule="exact"/>
        <w:ind w:firstLine="630"/>
        <w:rPr>
          <w:rFonts w:ascii="Calibri" w:eastAsia="仿宋_GB2312" w:hAnsi="Calibri" w:cs="仿宋_GB2312"/>
          <w:color w:val="000000"/>
          <w:sz w:val="32"/>
          <w:szCs w:val="32"/>
        </w:rPr>
      </w:pPr>
      <w:r>
        <w:rPr>
          <w:rFonts w:ascii="Calibri" w:eastAsia="黑体" w:hAnsi="Calibri" w:cs="黑体" w:hint="eastAsia"/>
          <w:snapToGrid w:val="0"/>
          <w:color w:val="000000"/>
          <w:kern w:val="0"/>
          <w:sz w:val="32"/>
          <w:szCs w:val="32"/>
        </w:rPr>
        <w:t>第二十条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认定机构提供的认定服务根据实际情况按门诊诊查收费。认定机构根据认定需要，</w:t>
      </w:r>
      <w:r>
        <w:rPr>
          <w:rFonts w:ascii="Calibri" w:eastAsia="仿宋_GB2312" w:hAnsi="Calibri" w:cs="仿宋_GB2312" w:hint="eastAsia"/>
          <w:color w:val="000000"/>
          <w:sz w:val="32"/>
          <w:szCs w:val="32"/>
        </w:rPr>
        <w:t>指定参保人员现场做检查检验的，按照</w:t>
      </w:r>
      <w:r>
        <w:rPr>
          <w:rFonts w:ascii="Calibri" w:eastAsia="仿宋_GB2312" w:hAnsi="Calibri" w:cs="仿宋_GB2312"/>
          <w:color w:val="000000"/>
          <w:sz w:val="32"/>
          <w:szCs w:val="32"/>
        </w:rPr>
        <w:t>本</w:t>
      </w:r>
      <w:r>
        <w:rPr>
          <w:rFonts w:ascii="Calibri" w:eastAsia="仿宋_GB2312" w:hAnsi="Calibri" w:cs="仿宋_GB2312" w:hint="eastAsia"/>
          <w:color w:val="000000"/>
          <w:sz w:val="32"/>
          <w:szCs w:val="32"/>
        </w:rPr>
        <w:t>市医疗服务项目收费和报销政策执行。建立认定费用补偿机制，参保人员在认定机构发生的认定相关检查检验费用，实行按项目付费。</w:t>
      </w:r>
    </w:p>
    <w:p w:rsidR="0059773C" w:rsidRDefault="00B8713F">
      <w:pPr>
        <w:adjustRightInd w:val="0"/>
        <w:spacing w:line="578" w:lineRule="exact"/>
        <w:ind w:firstLineChars="200" w:firstLine="640"/>
        <w:rPr>
          <w:rFonts w:ascii="Calibri" w:eastAsia="仿宋_GB2312" w:hAnsi="Calibri" w:cs="Calibri"/>
          <w:snapToGrid w:val="0"/>
          <w:color w:val="000000"/>
          <w:kern w:val="0"/>
          <w:sz w:val="32"/>
          <w:szCs w:val="32"/>
        </w:rPr>
      </w:pPr>
      <w:r>
        <w:rPr>
          <w:rFonts w:ascii="Calibri" w:eastAsia="黑体" w:hAnsi="Calibri" w:cs="黑体" w:hint="eastAsia"/>
          <w:snapToGrid w:val="0"/>
          <w:color w:val="000000"/>
          <w:kern w:val="0"/>
          <w:sz w:val="32"/>
          <w:szCs w:val="32"/>
        </w:rPr>
        <w:t>第二十</w:t>
      </w:r>
      <w:r>
        <w:rPr>
          <w:rFonts w:ascii="Calibri" w:eastAsia="黑体" w:hAnsi="Calibri" w:cs="黑体"/>
          <w:snapToGrid w:val="0"/>
          <w:color w:val="000000"/>
          <w:kern w:val="0"/>
          <w:sz w:val="32"/>
          <w:szCs w:val="32"/>
        </w:rPr>
        <w:t>一</w:t>
      </w:r>
      <w:r>
        <w:rPr>
          <w:rFonts w:ascii="Calibri" w:eastAsia="黑体" w:hAnsi="Calibri" w:cs="黑体" w:hint="eastAsia"/>
          <w:snapToGrid w:val="0"/>
          <w:color w:val="000000"/>
          <w:kern w:val="0"/>
          <w:sz w:val="32"/>
          <w:szCs w:val="32"/>
        </w:rPr>
        <w:t>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认定机构妥善保管本机构开展认定工作的相关档案材料，整理归档并定期移交所在辖区的医疗保障经办机构，由其按照</w:t>
      </w:r>
      <w:r>
        <w:rPr>
          <w:rFonts w:ascii="仿宋_GB2312" w:eastAsia="仿宋_GB2312" w:hint="eastAsia"/>
          <w:kern w:val="0"/>
          <w:sz w:val="32"/>
          <w:szCs w:val="32"/>
        </w:rPr>
        <w:t>《社会保险业务档案管理规范》等</w:t>
      </w:r>
      <w:r>
        <w:rPr>
          <w:rFonts w:ascii="Calibri" w:eastAsia="仿宋_GB2312" w:hAnsi="Calibri" w:cs="仿宋_GB2312" w:hint="eastAsia"/>
          <w:snapToGrid w:val="0"/>
          <w:color w:val="000000"/>
          <w:kern w:val="0"/>
          <w:sz w:val="32"/>
          <w:szCs w:val="32"/>
        </w:rPr>
        <w:t>有关要求做好保管。</w:t>
      </w:r>
    </w:p>
    <w:p w:rsidR="0059773C" w:rsidRDefault="00B8713F">
      <w:pPr>
        <w:spacing w:line="578" w:lineRule="exact"/>
        <w:ind w:firstLine="633"/>
        <w:rPr>
          <w:rFonts w:ascii="仿宋_GB2312" w:eastAsia="仿宋_GB2312" w:cs="仿宋_GB2312"/>
          <w:color w:val="000000"/>
          <w:sz w:val="32"/>
          <w:szCs w:val="32"/>
        </w:rPr>
      </w:pPr>
      <w:r>
        <w:rPr>
          <w:rFonts w:ascii="黑体" w:eastAsia="黑体" w:cs="黑体" w:hint="eastAsia"/>
          <w:snapToGrid w:val="0"/>
          <w:color w:val="000000"/>
          <w:kern w:val="0"/>
          <w:sz w:val="32"/>
          <w:szCs w:val="32"/>
        </w:rPr>
        <w:t>第二十</w:t>
      </w:r>
      <w:r>
        <w:rPr>
          <w:rFonts w:ascii="黑体" w:eastAsia="黑体" w:cs="黑体"/>
          <w:snapToGrid w:val="0"/>
          <w:color w:val="000000"/>
          <w:kern w:val="0"/>
          <w:sz w:val="32"/>
          <w:szCs w:val="32"/>
        </w:rPr>
        <w:t>二</w:t>
      </w:r>
      <w:r>
        <w:rPr>
          <w:rFonts w:ascii="黑体" w:eastAsia="黑体" w:cs="黑体" w:hint="eastAsia"/>
          <w:snapToGrid w:val="0"/>
          <w:color w:val="000000"/>
          <w:kern w:val="0"/>
          <w:sz w:val="32"/>
          <w:szCs w:val="32"/>
        </w:rPr>
        <w:t>条</w:t>
      </w:r>
      <w:r>
        <w:rPr>
          <w:rFonts w:ascii="黑体" w:eastAsia="黑体" w:cs="黑体" w:hint="eastAsia"/>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医疗保障经办机构进一步规范认定机构的布局设置要求，强化认定流程，严格落实认定标准，加强</w:t>
      </w:r>
      <w:r>
        <w:rPr>
          <w:rFonts w:ascii="仿宋_GB2312" w:eastAsia="仿宋_GB2312" w:cs="仿宋_GB2312" w:hint="eastAsia"/>
          <w:color w:val="000000"/>
          <w:sz w:val="32"/>
          <w:szCs w:val="32"/>
        </w:rPr>
        <w:t>推进人脸识别、手环等技术在认定工作中的应用。</w:t>
      </w:r>
    </w:p>
    <w:p w:rsidR="0059773C" w:rsidRDefault="00B8713F">
      <w:pPr>
        <w:spacing w:line="578" w:lineRule="exact"/>
        <w:ind w:firstLineChars="200" w:firstLine="640"/>
        <w:rPr>
          <w:rFonts w:eastAsia="楷体_GB2312"/>
          <w:snapToGrid w:val="0"/>
          <w:color w:val="000000"/>
          <w:sz w:val="32"/>
          <w:szCs w:val="32"/>
        </w:rPr>
      </w:pPr>
      <w:r>
        <w:rPr>
          <w:rFonts w:ascii="黑体" w:eastAsia="黑体" w:cs="仿宋_GB2312" w:hint="eastAsia"/>
          <w:color w:val="000000"/>
          <w:sz w:val="32"/>
          <w:szCs w:val="32"/>
        </w:rPr>
        <w:t>第二十</w:t>
      </w:r>
      <w:r>
        <w:rPr>
          <w:rFonts w:ascii="黑体" w:eastAsia="黑体" w:cs="仿宋_GB2312"/>
          <w:color w:val="000000"/>
          <w:sz w:val="32"/>
          <w:szCs w:val="32"/>
        </w:rPr>
        <w:t>三</w:t>
      </w:r>
      <w:r>
        <w:rPr>
          <w:rFonts w:ascii="黑体" w:eastAsia="黑体" w:cs="仿宋_GB2312" w:hint="eastAsia"/>
          <w:color w:val="000000"/>
          <w:sz w:val="32"/>
          <w:szCs w:val="32"/>
        </w:rPr>
        <w:t>条</w:t>
      </w:r>
      <w:r>
        <w:rPr>
          <w:rFonts w:ascii="黑体" w:eastAsia="黑体" w:cs="仿宋_GB2312" w:hint="eastAsia"/>
          <w:color w:val="000000"/>
          <w:sz w:val="32"/>
          <w:szCs w:val="32"/>
        </w:rPr>
        <w:t xml:space="preserve"> </w:t>
      </w:r>
      <w:r>
        <w:rPr>
          <w:rFonts w:ascii="仿宋_GB2312" w:eastAsia="仿宋_GB2312" w:cs="仿宋_GB2312" w:hint="eastAsia"/>
          <w:color w:val="000000"/>
          <w:sz w:val="32"/>
          <w:szCs w:val="32"/>
        </w:rPr>
        <w:t>利用定点医疗机构点多面广的优势，强化门特病政策的社会宣传，提高政策知晓率，营造良好社会氛围。</w:t>
      </w:r>
    </w:p>
    <w:p w:rsidR="0059773C" w:rsidRDefault="0059773C">
      <w:pPr>
        <w:spacing w:line="578" w:lineRule="exact"/>
        <w:rPr>
          <w:rFonts w:ascii="Calibri" w:eastAsia="黑体" w:hAnsi="Calibri" w:cs="Calibri"/>
          <w:snapToGrid w:val="0"/>
          <w:color w:val="000000"/>
          <w:kern w:val="0"/>
          <w:sz w:val="32"/>
          <w:szCs w:val="32"/>
        </w:rPr>
      </w:pPr>
    </w:p>
    <w:p w:rsidR="0059773C" w:rsidRDefault="00B8713F">
      <w:pPr>
        <w:spacing w:line="578" w:lineRule="exact"/>
        <w:jc w:val="center"/>
        <w:rPr>
          <w:rFonts w:ascii="Calibri" w:eastAsia="黑体" w:hAnsi="Calibri" w:cs="黑体"/>
          <w:snapToGrid w:val="0"/>
          <w:color w:val="000000"/>
          <w:kern w:val="0"/>
          <w:sz w:val="32"/>
          <w:szCs w:val="32"/>
        </w:rPr>
      </w:pPr>
      <w:r>
        <w:rPr>
          <w:rFonts w:ascii="Calibri" w:eastAsia="黑体" w:hAnsi="Calibri" w:cs="黑体" w:hint="eastAsia"/>
          <w:snapToGrid w:val="0"/>
          <w:color w:val="000000"/>
          <w:kern w:val="0"/>
          <w:sz w:val="32"/>
          <w:szCs w:val="32"/>
        </w:rPr>
        <w:t>第五章</w:t>
      </w:r>
      <w:r>
        <w:rPr>
          <w:rFonts w:ascii="Calibri" w:eastAsia="黑体" w:hAnsi="Calibri" w:cs="Calibri"/>
          <w:snapToGrid w:val="0"/>
          <w:color w:val="000000"/>
          <w:kern w:val="0"/>
          <w:sz w:val="32"/>
          <w:szCs w:val="32"/>
        </w:rPr>
        <w:t xml:space="preserve"> </w:t>
      </w:r>
      <w:r>
        <w:rPr>
          <w:rFonts w:ascii="Calibri" w:eastAsia="黑体" w:hAnsi="Calibri" w:cs="黑体" w:hint="eastAsia"/>
          <w:snapToGrid w:val="0"/>
          <w:color w:val="000000"/>
          <w:kern w:val="0"/>
          <w:sz w:val="32"/>
          <w:szCs w:val="32"/>
        </w:rPr>
        <w:t>监督管理</w:t>
      </w:r>
    </w:p>
    <w:p w:rsidR="0059773C" w:rsidRDefault="00B8713F">
      <w:pPr>
        <w:adjustRightInd w:val="0"/>
        <w:spacing w:line="578" w:lineRule="exact"/>
        <w:ind w:firstLineChars="200" w:firstLine="640"/>
        <w:rPr>
          <w:rFonts w:ascii="仿宋_GB2312" w:eastAsia="仿宋_GB2312"/>
          <w:color w:val="000000"/>
          <w:kern w:val="0"/>
          <w:sz w:val="32"/>
          <w:szCs w:val="32"/>
        </w:rPr>
      </w:pPr>
      <w:r>
        <w:rPr>
          <w:rFonts w:ascii="Calibri" w:eastAsia="黑体" w:hAnsi="Calibri" w:cs="黑体" w:hint="eastAsia"/>
          <w:snapToGrid w:val="0"/>
          <w:color w:val="000000"/>
          <w:kern w:val="0"/>
          <w:sz w:val="32"/>
          <w:szCs w:val="32"/>
        </w:rPr>
        <w:t>第二十</w:t>
      </w:r>
      <w:r>
        <w:rPr>
          <w:rFonts w:ascii="Calibri" w:eastAsia="黑体" w:hAnsi="Calibri" w:cs="黑体"/>
          <w:snapToGrid w:val="0"/>
          <w:color w:val="000000"/>
          <w:kern w:val="0"/>
          <w:sz w:val="32"/>
          <w:szCs w:val="32"/>
        </w:rPr>
        <w:t>四</w:t>
      </w:r>
      <w:r>
        <w:rPr>
          <w:rFonts w:ascii="Calibri" w:eastAsia="黑体" w:hAnsi="Calibri" w:cs="黑体" w:hint="eastAsia"/>
          <w:snapToGrid w:val="0"/>
          <w:color w:val="000000"/>
          <w:kern w:val="0"/>
          <w:sz w:val="32"/>
          <w:szCs w:val="32"/>
        </w:rPr>
        <w:t>条</w:t>
      </w:r>
      <w:r>
        <w:rPr>
          <w:rFonts w:ascii="Calibri" w:eastAsia="黑体" w:hAnsi="Calibri" w:cs="Calibri"/>
          <w:snapToGrid w:val="0"/>
          <w:color w:val="000000"/>
          <w:kern w:val="0"/>
          <w:sz w:val="32"/>
          <w:szCs w:val="32"/>
        </w:rPr>
        <w:t xml:space="preserve"> </w:t>
      </w:r>
      <w:r>
        <w:rPr>
          <w:rFonts w:ascii="仿宋_GB2312" w:eastAsia="仿宋_GB2312" w:hint="eastAsia"/>
          <w:color w:val="000000"/>
          <w:kern w:val="0"/>
          <w:sz w:val="32"/>
          <w:szCs w:val="32"/>
        </w:rPr>
        <w:t>医疗保障经办机构定期对认定结果进行抽检，其中，对于本办法实施后每年新增登记为门特病的参保人员，按不低于</w:t>
      </w:r>
      <w:r>
        <w:rPr>
          <w:rFonts w:eastAsia="仿宋_GB2312"/>
          <w:color w:val="000000"/>
          <w:kern w:val="0"/>
          <w:sz w:val="32"/>
          <w:szCs w:val="32"/>
        </w:rPr>
        <w:t>10%</w:t>
      </w:r>
      <w:r>
        <w:rPr>
          <w:rFonts w:ascii="仿宋_GB2312" w:eastAsia="仿宋_GB2312" w:cs="仿宋_GB2312" w:hint="eastAsia"/>
          <w:color w:val="000000"/>
          <w:kern w:val="0"/>
          <w:sz w:val="32"/>
          <w:szCs w:val="32"/>
        </w:rPr>
        <w:t>比</w:t>
      </w:r>
      <w:r>
        <w:rPr>
          <w:rFonts w:ascii="仿宋_GB2312" w:eastAsia="仿宋_GB2312" w:hint="eastAsia"/>
          <w:color w:val="000000"/>
          <w:kern w:val="0"/>
          <w:sz w:val="32"/>
          <w:szCs w:val="32"/>
        </w:rPr>
        <w:t>例抽检；对于抽检过程中，发现明显不符合认定标准、材料和流程的，取消参保人员门特待遇；发现涉嫌存在虚假认定的，移交区医疗保障行政部门对参保人员进行复查鉴定。</w:t>
      </w:r>
      <w:r>
        <w:rPr>
          <w:rFonts w:ascii="仿宋_GB2312" w:eastAsia="仿宋_GB2312" w:hint="eastAsia"/>
          <w:sz w:val="32"/>
          <w:szCs w:val="32"/>
        </w:rPr>
        <w:t>对于同时登记多个门特病和医保支付门特费用金额明显偏高等涉嫌存在违反医疗保障法律、法规、规章、规定等情形的参保人员，</w:t>
      </w:r>
      <w:r>
        <w:rPr>
          <w:rFonts w:ascii="仿宋_GB2312" w:eastAsia="仿宋_GB2312" w:hint="eastAsia"/>
          <w:color w:val="000000"/>
          <w:kern w:val="0"/>
          <w:sz w:val="32"/>
          <w:szCs w:val="32"/>
        </w:rPr>
        <w:t>由市医疗保障行政执法机构提取相关数据后转交各区医疗保障行政部门组织进行复查鉴定。</w:t>
      </w:r>
    </w:p>
    <w:p w:rsidR="0059773C" w:rsidRDefault="00B8713F">
      <w:pPr>
        <w:adjustRightInd w:val="0"/>
        <w:spacing w:line="578" w:lineRule="exact"/>
        <w:ind w:firstLineChars="200" w:firstLine="640"/>
        <w:rPr>
          <w:rFonts w:ascii="Calibri" w:hAnsi="Calibri" w:cs="Calibri"/>
          <w:color w:val="000000"/>
          <w:szCs w:val="21"/>
        </w:rPr>
      </w:pPr>
      <w:r>
        <w:rPr>
          <w:rFonts w:ascii="Calibri" w:eastAsia="仿宋_GB2312" w:hAnsi="Calibri" w:cs="仿宋_GB2312" w:hint="eastAsia"/>
          <w:snapToGrid w:val="0"/>
          <w:color w:val="000000"/>
          <w:kern w:val="0"/>
          <w:sz w:val="32"/>
          <w:szCs w:val="32"/>
        </w:rPr>
        <w:t>鼓励采取互查等方式进行核查，对存在问题及时处理并督促整改。对于按照一般认定程序开展的认定，医疗保障经办机构应当采取信息比对方式，严格规范一般认定程序适用范围，对存在问题及时处理并督促整改。</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第二十</w:t>
      </w:r>
      <w:r>
        <w:rPr>
          <w:rFonts w:ascii="Calibri" w:eastAsia="黑体" w:hAnsi="Calibri" w:cs="黑体"/>
          <w:snapToGrid w:val="0"/>
          <w:color w:val="000000"/>
          <w:kern w:val="0"/>
          <w:sz w:val="32"/>
          <w:szCs w:val="32"/>
        </w:rPr>
        <w:t>五</w:t>
      </w:r>
      <w:r>
        <w:rPr>
          <w:rFonts w:ascii="Calibri" w:eastAsia="黑体" w:hAnsi="Calibri" w:cs="黑体" w:hint="eastAsia"/>
          <w:snapToGrid w:val="0"/>
          <w:color w:val="000000"/>
          <w:kern w:val="0"/>
          <w:sz w:val="32"/>
          <w:szCs w:val="32"/>
        </w:rPr>
        <w:t>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认定机构应当建立健全认定工作管理制度，严格把握认定标准，坚持实名制认定管理，杜绝冒名顶替等虚假认定行为。</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第二十</w:t>
      </w:r>
      <w:r>
        <w:rPr>
          <w:rFonts w:ascii="Calibri" w:eastAsia="黑体" w:hAnsi="Calibri" w:cs="黑体"/>
          <w:snapToGrid w:val="0"/>
          <w:color w:val="000000"/>
          <w:kern w:val="0"/>
          <w:sz w:val="32"/>
          <w:szCs w:val="32"/>
        </w:rPr>
        <w:t>六</w:t>
      </w:r>
      <w:r>
        <w:rPr>
          <w:rFonts w:ascii="Calibri" w:eastAsia="黑体" w:hAnsi="Calibri" w:cs="黑体" w:hint="eastAsia"/>
          <w:snapToGrid w:val="0"/>
          <w:color w:val="000000"/>
          <w:kern w:val="0"/>
          <w:sz w:val="32"/>
          <w:szCs w:val="32"/>
        </w:rPr>
        <w:t>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认定机构出具虚假认定结论或配合、默许患者虚假认定的，在取消相关参保人员门特病待遇保障资格的同时，对认定机构按照医保服务协议或有关规定进行处理。</w:t>
      </w:r>
    </w:p>
    <w:p w:rsidR="0059773C" w:rsidRDefault="00B8713F">
      <w:pPr>
        <w:spacing w:line="578" w:lineRule="exact"/>
        <w:ind w:firstLine="633"/>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第二十</w:t>
      </w:r>
      <w:r>
        <w:rPr>
          <w:rFonts w:ascii="Calibri" w:eastAsia="黑体" w:hAnsi="Calibri" w:cs="黑体"/>
          <w:snapToGrid w:val="0"/>
          <w:color w:val="000000"/>
          <w:kern w:val="0"/>
          <w:sz w:val="32"/>
          <w:szCs w:val="32"/>
        </w:rPr>
        <w:t>七</w:t>
      </w:r>
      <w:r>
        <w:rPr>
          <w:rFonts w:ascii="Calibri" w:eastAsia="黑体" w:hAnsi="Calibri" w:cs="黑体" w:hint="eastAsia"/>
          <w:snapToGrid w:val="0"/>
          <w:color w:val="000000"/>
          <w:kern w:val="0"/>
          <w:sz w:val="32"/>
          <w:szCs w:val="32"/>
        </w:rPr>
        <w:t>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做好认定人员管理与定点医药机构相关人员医保支付管理的衔接，对于认定人员违法违规行为造成医保基金损失的，进行记分管理，及时采取暂停或终止医保支付资格处理。</w:t>
      </w:r>
    </w:p>
    <w:p w:rsidR="0059773C" w:rsidRDefault="00B8713F">
      <w:pPr>
        <w:spacing w:line="578" w:lineRule="exact"/>
        <w:ind w:firstLine="633"/>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lastRenderedPageBreak/>
        <w:t>第二十</w:t>
      </w:r>
      <w:r>
        <w:rPr>
          <w:rFonts w:ascii="Calibri" w:eastAsia="黑体" w:hAnsi="Calibri" w:cs="黑体"/>
          <w:snapToGrid w:val="0"/>
          <w:color w:val="000000"/>
          <w:kern w:val="0"/>
          <w:sz w:val="32"/>
          <w:szCs w:val="32"/>
        </w:rPr>
        <w:t>八</w:t>
      </w:r>
      <w:r>
        <w:rPr>
          <w:rFonts w:ascii="Calibri" w:eastAsia="黑体" w:hAnsi="Calibri" w:cs="黑体" w:hint="eastAsia"/>
          <w:snapToGrid w:val="0"/>
          <w:color w:val="000000"/>
          <w:kern w:val="0"/>
          <w:sz w:val="32"/>
          <w:szCs w:val="32"/>
        </w:rPr>
        <w:t>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认定机构和</w:t>
      </w:r>
      <w:r>
        <w:rPr>
          <w:rFonts w:eastAsia="仿宋_GB2312" w:cs="仿宋_GB2312"/>
          <w:snapToGrid w:val="0"/>
          <w:color w:val="000000"/>
          <w:kern w:val="0"/>
          <w:sz w:val="32"/>
          <w:szCs w:val="32"/>
        </w:rPr>
        <w:t>认定</w:t>
      </w:r>
      <w:r>
        <w:rPr>
          <w:rFonts w:ascii="Calibri" w:eastAsia="仿宋_GB2312" w:hAnsi="Calibri" w:cs="仿宋_GB2312" w:hint="eastAsia"/>
          <w:snapToGrid w:val="0"/>
          <w:color w:val="000000"/>
          <w:kern w:val="0"/>
          <w:sz w:val="32"/>
          <w:szCs w:val="32"/>
        </w:rPr>
        <w:t>医师应当配合医疗保障行政部门、医疗保障行政执法机构、</w:t>
      </w:r>
      <w:r>
        <w:rPr>
          <w:rFonts w:ascii="Calibri" w:eastAsia="仿宋_GB2312" w:hAnsi="Calibri" w:cs="仿宋_GB2312"/>
          <w:snapToGrid w:val="0"/>
          <w:color w:val="000000"/>
          <w:kern w:val="0"/>
          <w:sz w:val="32"/>
          <w:szCs w:val="32"/>
        </w:rPr>
        <w:t>医疗保障</w:t>
      </w:r>
      <w:r>
        <w:rPr>
          <w:rFonts w:ascii="Calibri" w:eastAsia="仿宋_GB2312" w:hAnsi="Calibri" w:cs="仿宋_GB2312" w:hint="eastAsia"/>
          <w:snapToGrid w:val="0"/>
          <w:color w:val="000000"/>
          <w:kern w:val="0"/>
          <w:sz w:val="32"/>
          <w:szCs w:val="32"/>
        </w:rPr>
        <w:t>经办机构进行监督检查。被检查的认定机构和</w:t>
      </w:r>
      <w:r>
        <w:rPr>
          <w:rFonts w:ascii="Calibri" w:eastAsia="仿宋_GB2312" w:hAnsi="Calibri" w:cs="仿宋_GB2312"/>
          <w:snapToGrid w:val="0"/>
          <w:color w:val="000000"/>
          <w:kern w:val="0"/>
          <w:sz w:val="32"/>
          <w:szCs w:val="32"/>
        </w:rPr>
        <w:t>认定</w:t>
      </w:r>
      <w:r>
        <w:rPr>
          <w:rFonts w:ascii="Calibri" w:eastAsia="仿宋_GB2312" w:hAnsi="Calibri" w:cs="仿宋_GB2312" w:hint="eastAsia"/>
          <w:snapToGrid w:val="0"/>
          <w:color w:val="000000"/>
          <w:kern w:val="0"/>
          <w:sz w:val="32"/>
          <w:szCs w:val="32"/>
        </w:rPr>
        <w:t>医师应当如实反映情况，提供必要的材料。</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黑体" w:eastAsia="黑体" w:cs="黑体" w:hint="eastAsia"/>
          <w:snapToGrid w:val="0"/>
          <w:color w:val="000000"/>
          <w:kern w:val="0"/>
          <w:sz w:val="32"/>
          <w:szCs w:val="32"/>
        </w:rPr>
        <w:t>第</w:t>
      </w:r>
      <w:r>
        <w:rPr>
          <w:rFonts w:ascii="黑体" w:eastAsia="黑体" w:cs="黑体"/>
          <w:snapToGrid w:val="0"/>
          <w:color w:val="000000"/>
          <w:kern w:val="0"/>
          <w:sz w:val="32"/>
          <w:szCs w:val="32"/>
        </w:rPr>
        <w:t>二十九</w:t>
      </w:r>
      <w:r>
        <w:rPr>
          <w:rFonts w:ascii="黑体" w:eastAsia="黑体" w:cs="黑体" w:hint="eastAsia"/>
          <w:snapToGrid w:val="0"/>
          <w:color w:val="000000"/>
          <w:kern w:val="0"/>
          <w:sz w:val="32"/>
          <w:szCs w:val="32"/>
        </w:rPr>
        <w:t>条</w:t>
      </w:r>
      <w:r>
        <w:rPr>
          <w:rFonts w:ascii="Calibri" w:eastAsia="仿宋_GB2312"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鼓励支持单位和个人对门特病认定中违反服务协议、违法违规行为等进行举报投诉。经查证属实的，按照有关规定给予奖励。接受举报投诉的部门，应当对举报投诉人的相关信息予以保密。</w:t>
      </w:r>
    </w:p>
    <w:p w:rsidR="0059773C" w:rsidRDefault="00B8713F">
      <w:pPr>
        <w:spacing w:line="578" w:lineRule="exact"/>
        <w:ind w:firstLineChars="196" w:firstLine="627"/>
        <w:rPr>
          <w:rFonts w:ascii="Calibri" w:eastAsia="仿宋_GB2312" w:hAnsi="Calibri" w:cs="Calibri"/>
          <w:color w:val="000000"/>
          <w:sz w:val="32"/>
          <w:szCs w:val="32"/>
        </w:rPr>
      </w:pPr>
      <w:r>
        <w:rPr>
          <w:rFonts w:ascii="Calibri" w:eastAsia="黑体" w:hAnsi="Calibri" w:cs="黑体" w:hint="eastAsia"/>
          <w:snapToGrid w:val="0"/>
          <w:color w:val="000000"/>
          <w:kern w:val="0"/>
          <w:sz w:val="32"/>
          <w:szCs w:val="32"/>
        </w:rPr>
        <w:t>第三十条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color w:val="000000"/>
          <w:sz w:val="32"/>
          <w:szCs w:val="32"/>
        </w:rPr>
        <w:t>医疗保障经办机构、认定机构及认定医师，参保人员等存在违法违规行为，属于医保服务协议规定内容的，按照协议约定进行处理；属于法律、法规和规章行政处罚规定范畴的，依法给予行政处罚；构成犯罪的，依法追究刑事责任。</w:t>
      </w:r>
    </w:p>
    <w:p w:rsidR="0059773C" w:rsidRDefault="0059773C">
      <w:pPr>
        <w:spacing w:line="578" w:lineRule="exact"/>
        <w:rPr>
          <w:rFonts w:ascii="Calibri" w:eastAsia="黑体" w:hAnsi="Calibri" w:cs="Calibri"/>
          <w:snapToGrid w:val="0"/>
          <w:color w:val="000000"/>
          <w:kern w:val="0"/>
          <w:sz w:val="32"/>
          <w:szCs w:val="32"/>
        </w:rPr>
      </w:pPr>
    </w:p>
    <w:p w:rsidR="0059773C" w:rsidRDefault="00B8713F">
      <w:pPr>
        <w:spacing w:line="578" w:lineRule="exact"/>
        <w:jc w:val="center"/>
        <w:rPr>
          <w:rFonts w:ascii="Calibri" w:eastAsia="黑体" w:hAnsi="Calibri" w:cs="黑体"/>
          <w:snapToGrid w:val="0"/>
          <w:color w:val="000000"/>
          <w:kern w:val="0"/>
          <w:sz w:val="32"/>
          <w:szCs w:val="32"/>
        </w:rPr>
      </w:pPr>
      <w:r>
        <w:rPr>
          <w:rFonts w:ascii="Calibri" w:eastAsia="黑体" w:hAnsi="Calibri" w:cs="黑体" w:hint="eastAsia"/>
          <w:snapToGrid w:val="0"/>
          <w:color w:val="000000"/>
          <w:kern w:val="0"/>
          <w:sz w:val="32"/>
          <w:szCs w:val="32"/>
        </w:rPr>
        <w:t>第六章</w:t>
      </w:r>
      <w:r>
        <w:rPr>
          <w:rFonts w:ascii="Calibri" w:eastAsia="黑体" w:hAnsi="Calibri" w:cs="Calibri"/>
          <w:color w:val="000000"/>
          <w:kern w:val="0"/>
          <w:sz w:val="32"/>
          <w:szCs w:val="32"/>
        </w:rPr>
        <w:t xml:space="preserve">  </w:t>
      </w:r>
      <w:r>
        <w:rPr>
          <w:rFonts w:ascii="Calibri" w:eastAsia="黑体" w:hAnsi="Calibri" w:cs="黑体" w:hint="eastAsia"/>
          <w:snapToGrid w:val="0"/>
          <w:color w:val="000000"/>
          <w:kern w:val="0"/>
          <w:sz w:val="32"/>
          <w:szCs w:val="32"/>
        </w:rPr>
        <w:t>附</w:t>
      </w:r>
      <w:r>
        <w:rPr>
          <w:rFonts w:ascii="Calibri" w:eastAsia="黑体" w:hAnsi="Calibri" w:cs="Calibri"/>
          <w:color w:val="000000"/>
          <w:kern w:val="0"/>
          <w:sz w:val="32"/>
          <w:szCs w:val="32"/>
        </w:rPr>
        <w:t xml:space="preserve">  </w:t>
      </w:r>
      <w:r>
        <w:rPr>
          <w:rFonts w:ascii="Calibri" w:eastAsia="黑体" w:hAnsi="Calibri" w:cs="黑体" w:hint="eastAsia"/>
          <w:snapToGrid w:val="0"/>
          <w:color w:val="000000"/>
          <w:kern w:val="0"/>
          <w:sz w:val="32"/>
          <w:szCs w:val="32"/>
        </w:rPr>
        <w:t>则</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第三十</w:t>
      </w:r>
      <w:r>
        <w:rPr>
          <w:rFonts w:ascii="Calibri" w:eastAsia="黑体" w:hAnsi="Calibri" w:cs="黑体"/>
          <w:snapToGrid w:val="0"/>
          <w:color w:val="000000"/>
          <w:kern w:val="0"/>
          <w:sz w:val="32"/>
          <w:szCs w:val="32"/>
        </w:rPr>
        <w:t>一</w:t>
      </w:r>
      <w:r>
        <w:rPr>
          <w:rFonts w:ascii="Calibri" w:eastAsia="黑体" w:hAnsi="Calibri" w:cs="黑体" w:hint="eastAsia"/>
          <w:snapToGrid w:val="0"/>
          <w:color w:val="000000"/>
          <w:kern w:val="0"/>
          <w:sz w:val="32"/>
          <w:szCs w:val="32"/>
        </w:rPr>
        <w:t>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本办法由市医疗保障行政部门负责解释。</w:t>
      </w:r>
    </w:p>
    <w:p w:rsidR="0059773C" w:rsidRDefault="00B8713F">
      <w:pPr>
        <w:spacing w:line="578" w:lineRule="exact"/>
        <w:ind w:firstLine="630"/>
        <w:rPr>
          <w:rFonts w:ascii="Calibri" w:eastAsia="仿宋_GB2312" w:hAnsi="Calibri" w:cs="仿宋_GB2312"/>
          <w:snapToGrid w:val="0"/>
          <w:color w:val="000000"/>
          <w:kern w:val="0"/>
          <w:sz w:val="32"/>
          <w:szCs w:val="32"/>
        </w:rPr>
      </w:pPr>
      <w:r>
        <w:rPr>
          <w:rFonts w:ascii="Calibri" w:eastAsia="黑体" w:hAnsi="Calibri" w:cs="黑体" w:hint="eastAsia"/>
          <w:snapToGrid w:val="0"/>
          <w:color w:val="000000"/>
          <w:kern w:val="0"/>
          <w:sz w:val="32"/>
          <w:szCs w:val="32"/>
        </w:rPr>
        <w:t>第三十</w:t>
      </w:r>
      <w:r>
        <w:rPr>
          <w:rFonts w:ascii="Calibri" w:eastAsia="黑体" w:hAnsi="Calibri" w:cs="黑体"/>
          <w:snapToGrid w:val="0"/>
          <w:color w:val="000000"/>
          <w:kern w:val="0"/>
          <w:sz w:val="32"/>
          <w:szCs w:val="32"/>
        </w:rPr>
        <w:t>二</w:t>
      </w:r>
      <w:r>
        <w:rPr>
          <w:rFonts w:ascii="Calibri" w:eastAsia="黑体" w:hAnsi="Calibri" w:cs="黑体" w:hint="eastAsia"/>
          <w:snapToGrid w:val="0"/>
          <w:color w:val="000000"/>
          <w:kern w:val="0"/>
          <w:sz w:val="32"/>
          <w:szCs w:val="32"/>
        </w:rPr>
        <w:t>条</w:t>
      </w:r>
      <w:r>
        <w:rPr>
          <w:rFonts w:ascii="Calibri" w:eastAsia="黑体" w:hAnsi="Calibri" w:cs="Calibri"/>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市</w:t>
      </w:r>
      <w:r>
        <w:rPr>
          <w:rFonts w:ascii="Calibri" w:eastAsia="仿宋_GB2312" w:hAnsi="Calibri" w:cs="仿宋_GB2312" w:hint="eastAsia"/>
          <w:color w:val="000000"/>
          <w:sz w:val="32"/>
          <w:szCs w:val="32"/>
        </w:rPr>
        <w:t>医疗保障经办机构</w:t>
      </w:r>
      <w:r>
        <w:rPr>
          <w:rFonts w:ascii="Calibri" w:eastAsia="仿宋_GB2312" w:hAnsi="Calibri" w:cs="仿宋_GB2312" w:hint="eastAsia"/>
          <w:snapToGrid w:val="0"/>
          <w:color w:val="000000"/>
          <w:kern w:val="0"/>
          <w:sz w:val="32"/>
          <w:szCs w:val="32"/>
        </w:rPr>
        <w:t>依据本办法规定细化制定经办意见，推动相关政策措施平稳落地。</w:t>
      </w:r>
    </w:p>
    <w:p w:rsidR="0059773C" w:rsidRDefault="00B8713F">
      <w:pPr>
        <w:spacing w:line="578" w:lineRule="exact"/>
        <w:ind w:firstLine="630"/>
        <w:rPr>
          <w:rFonts w:eastAsia="仿宋_GB2312" w:cs="仿宋_GB2312"/>
          <w:color w:val="000000"/>
          <w:kern w:val="0"/>
          <w:sz w:val="32"/>
          <w:szCs w:val="32"/>
        </w:rPr>
      </w:pPr>
      <w:r>
        <w:rPr>
          <w:rFonts w:ascii="Calibri" w:eastAsia="黑体" w:hAnsi="Calibri" w:cs="黑体" w:hint="eastAsia"/>
          <w:snapToGrid w:val="0"/>
          <w:color w:val="000000"/>
          <w:kern w:val="0"/>
          <w:sz w:val="32"/>
          <w:szCs w:val="32"/>
        </w:rPr>
        <w:t>第三十</w:t>
      </w:r>
      <w:r>
        <w:rPr>
          <w:rFonts w:ascii="Calibri" w:eastAsia="黑体" w:hAnsi="Calibri" w:cs="黑体"/>
          <w:snapToGrid w:val="0"/>
          <w:color w:val="000000"/>
          <w:kern w:val="0"/>
          <w:sz w:val="32"/>
          <w:szCs w:val="32"/>
        </w:rPr>
        <w:t>三</w:t>
      </w:r>
      <w:r>
        <w:rPr>
          <w:rFonts w:ascii="Calibri" w:eastAsia="黑体" w:hAnsi="Calibri" w:cs="黑体" w:hint="eastAsia"/>
          <w:snapToGrid w:val="0"/>
          <w:color w:val="000000"/>
          <w:kern w:val="0"/>
          <w:sz w:val="32"/>
          <w:szCs w:val="32"/>
        </w:rPr>
        <w:t>条</w:t>
      </w:r>
      <w:r>
        <w:rPr>
          <w:rFonts w:ascii="Calibri" w:eastAsia="黑体" w:hAnsi="Calibri" w:cs="Calibri"/>
          <w:snapToGrid w:val="0"/>
          <w:color w:val="000000"/>
          <w:kern w:val="0"/>
          <w:sz w:val="32"/>
          <w:szCs w:val="32"/>
        </w:rPr>
        <w:t xml:space="preserve"> </w:t>
      </w:r>
      <w:r>
        <w:rPr>
          <w:rFonts w:eastAsia="仿宋_GB2312" w:cs="仿宋_GB2312" w:hint="eastAsia"/>
          <w:snapToGrid w:val="0"/>
          <w:color w:val="000000"/>
          <w:kern w:val="0"/>
          <w:sz w:val="32"/>
          <w:szCs w:val="32"/>
        </w:rPr>
        <w:t>参保人员</w:t>
      </w:r>
      <w:r>
        <w:rPr>
          <w:rFonts w:eastAsia="仿宋_GB2312" w:cs="仿宋_GB2312" w:hint="eastAsia"/>
          <w:color w:val="000000"/>
          <w:kern w:val="0"/>
          <w:sz w:val="32"/>
          <w:szCs w:val="32"/>
        </w:rPr>
        <w:t>如存在失血过多造成血红蛋白量降低、近期有输血史或有其他形式的溶血性贫血、服用维生素</w:t>
      </w:r>
      <w:r>
        <w:rPr>
          <w:rFonts w:eastAsia="仿宋_GB2312"/>
          <w:color w:val="000000"/>
          <w:kern w:val="0"/>
          <w:sz w:val="32"/>
          <w:szCs w:val="32"/>
        </w:rPr>
        <w:t>C</w:t>
      </w:r>
      <w:r>
        <w:rPr>
          <w:rFonts w:eastAsia="仿宋_GB2312" w:cs="仿宋_GB2312" w:hint="eastAsia"/>
          <w:color w:val="000000"/>
          <w:kern w:val="0"/>
          <w:sz w:val="32"/>
          <w:szCs w:val="32"/>
        </w:rPr>
        <w:t>、维生素</w:t>
      </w:r>
      <w:r>
        <w:rPr>
          <w:rFonts w:eastAsia="仿宋_GB2312"/>
          <w:color w:val="000000"/>
          <w:kern w:val="0"/>
          <w:sz w:val="32"/>
          <w:szCs w:val="32"/>
        </w:rPr>
        <w:t>E</w:t>
      </w:r>
      <w:r>
        <w:rPr>
          <w:rFonts w:eastAsia="仿宋_GB2312" w:cs="仿宋_GB2312" w:hint="eastAsia"/>
          <w:color w:val="000000"/>
          <w:kern w:val="0"/>
          <w:sz w:val="32"/>
          <w:szCs w:val="32"/>
        </w:rPr>
        <w:t>、大剂量的水杨酸盐（如阿司匹林和止痛药）、接受促红细胞生成素治疗、怀孕等（可造成</w:t>
      </w:r>
      <w:r>
        <w:rPr>
          <w:rFonts w:eastAsia="仿宋_GB2312"/>
          <w:color w:val="000000"/>
          <w:kern w:val="0"/>
          <w:sz w:val="32"/>
          <w:szCs w:val="32"/>
        </w:rPr>
        <w:t>HbA1c</w:t>
      </w:r>
      <w:r>
        <w:rPr>
          <w:rFonts w:eastAsia="仿宋_GB2312" w:cs="仿宋_GB2312" w:hint="eastAsia"/>
          <w:color w:val="000000"/>
          <w:kern w:val="0"/>
          <w:sz w:val="32"/>
          <w:szCs w:val="32"/>
        </w:rPr>
        <w:t>检测值偏低）以及缺铁性贫血、血红蛋白基因突变或异常血红蛋白等情况时，影响糖化血红蛋白的检测数值，认定机构随机组织</w:t>
      </w:r>
      <w:r>
        <w:rPr>
          <w:rFonts w:eastAsia="仿宋_GB2312"/>
          <w:color w:val="000000"/>
          <w:kern w:val="0"/>
          <w:sz w:val="32"/>
          <w:szCs w:val="32"/>
        </w:rPr>
        <w:t>3</w:t>
      </w:r>
      <w:r>
        <w:rPr>
          <w:rFonts w:eastAsia="仿宋_GB2312" w:cs="仿宋_GB2312" w:hint="eastAsia"/>
          <w:color w:val="000000"/>
          <w:kern w:val="0"/>
          <w:sz w:val="32"/>
          <w:szCs w:val="32"/>
        </w:rPr>
        <w:t>名认定医师根据参保人员症状体征、动态血糖检测、糖化白蛋白等指标综合评价。</w:t>
      </w:r>
    </w:p>
    <w:p w:rsidR="0059773C" w:rsidRDefault="00B8713F">
      <w:pPr>
        <w:spacing w:line="578" w:lineRule="exact"/>
        <w:ind w:firstLine="630"/>
        <w:rPr>
          <w:color w:val="000000"/>
          <w:szCs w:val="21"/>
        </w:rPr>
      </w:pPr>
      <w:r>
        <w:rPr>
          <w:rFonts w:ascii="Calibri" w:eastAsia="黑体" w:hAnsi="Calibri" w:cs="黑体" w:hint="eastAsia"/>
          <w:snapToGrid w:val="0"/>
          <w:color w:val="000000"/>
          <w:kern w:val="0"/>
          <w:sz w:val="32"/>
          <w:szCs w:val="32"/>
        </w:rPr>
        <w:lastRenderedPageBreak/>
        <w:t>第三十四条</w:t>
      </w:r>
      <w:r>
        <w:rPr>
          <w:rFonts w:ascii="Calibri" w:eastAsia="仿宋_GB2312" w:hAnsi="Calibri" w:cs="仿宋_GB2312"/>
          <w:snapToGrid w:val="0"/>
          <w:color w:val="000000"/>
          <w:kern w:val="0"/>
          <w:sz w:val="32"/>
          <w:szCs w:val="32"/>
        </w:rPr>
        <w:t xml:space="preserve"> </w:t>
      </w:r>
      <w:r>
        <w:rPr>
          <w:rFonts w:ascii="Calibri" w:eastAsia="仿宋_GB2312" w:hAnsi="Calibri" w:cs="仿宋_GB2312" w:hint="eastAsia"/>
          <w:snapToGrid w:val="0"/>
          <w:color w:val="000000"/>
          <w:kern w:val="0"/>
          <w:sz w:val="32"/>
          <w:szCs w:val="32"/>
        </w:rPr>
        <w:t>本</w:t>
      </w:r>
      <w:r>
        <w:rPr>
          <w:rFonts w:eastAsia="仿宋_GB2312" w:cs="仿宋_GB2312" w:hint="eastAsia"/>
          <w:snapToGrid w:val="0"/>
          <w:color w:val="000000"/>
          <w:kern w:val="0"/>
          <w:sz w:val="32"/>
          <w:szCs w:val="32"/>
        </w:rPr>
        <w:t>办法自</w:t>
      </w:r>
      <w:r>
        <w:rPr>
          <w:rFonts w:eastAsia="仿宋_GB2312"/>
          <w:snapToGrid w:val="0"/>
          <w:color w:val="000000"/>
          <w:kern w:val="0"/>
          <w:sz w:val="32"/>
          <w:szCs w:val="32"/>
        </w:rPr>
        <w:t>202</w:t>
      </w:r>
      <w:r>
        <w:rPr>
          <w:rFonts w:eastAsia="仿宋_GB2312"/>
          <w:snapToGrid w:val="0"/>
          <w:color w:val="000000"/>
          <w:kern w:val="0"/>
          <w:sz w:val="32"/>
          <w:szCs w:val="32"/>
        </w:rPr>
        <w:t>6</w:t>
      </w:r>
      <w:r>
        <w:rPr>
          <w:rFonts w:eastAsia="仿宋_GB2312" w:cs="仿宋_GB2312" w:hint="eastAsia"/>
          <w:snapToGrid w:val="0"/>
          <w:color w:val="000000"/>
          <w:kern w:val="0"/>
          <w:sz w:val="32"/>
          <w:szCs w:val="32"/>
        </w:rPr>
        <w:t>年</w:t>
      </w:r>
      <w:r>
        <w:rPr>
          <w:rFonts w:eastAsia="仿宋_GB2312" w:cs="仿宋_GB2312"/>
          <w:snapToGrid w:val="0"/>
          <w:color w:val="000000"/>
          <w:kern w:val="0"/>
          <w:sz w:val="32"/>
          <w:szCs w:val="32"/>
        </w:rPr>
        <w:t>1</w:t>
      </w:r>
      <w:r>
        <w:rPr>
          <w:rFonts w:eastAsia="仿宋_GB2312" w:cs="仿宋_GB2312" w:hint="eastAsia"/>
          <w:snapToGrid w:val="0"/>
          <w:color w:val="000000"/>
          <w:kern w:val="0"/>
          <w:sz w:val="32"/>
          <w:szCs w:val="32"/>
        </w:rPr>
        <w:t>月</w:t>
      </w:r>
      <w:r>
        <w:rPr>
          <w:rFonts w:eastAsia="仿宋_GB2312" w:cs="仿宋_GB2312"/>
          <w:snapToGrid w:val="0"/>
          <w:color w:val="000000"/>
          <w:kern w:val="0"/>
          <w:sz w:val="32"/>
          <w:szCs w:val="32"/>
        </w:rPr>
        <w:t>1</w:t>
      </w:r>
      <w:r>
        <w:rPr>
          <w:rFonts w:eastAsia="仿宋_GB2312" w:cs="仿宋_GB2312" w:hint="eastAsia"/>
          <w:snapToGrid w:val="0"/>
          <w:color w:val="000000"/>
          <w:kern w:val="0"/>
          <w:sz w:val="32"/>
          <w:szCs w:val="32"/>
        </w:rPr>
        <w:t>日起施行，有效期</w:t>
      </w:r>
      <w:r>
        <w:rPr>
          <w:rFonts w:eastAsia="仿宋_GB2312" w:cs="仿宋_GB2312"/>
          <w:snapToGrid w:val="0"/>
          <w:color w:val="000000"/>
          <w:kern w:val="0"/>
          <w:sz w:val="32"/>
          <w:szCs w:val="32"/>
        </w:rPr>
        <w:t>5</w:t>
      </w:r>
      <w:r>
        <w:rPr>
          <w:rFonts w:eastAsia="仿宋_GB2312" w:cs="仿宋_GB2312"/>
          <w:snapToGrid w:val="0"/>
          <w:color w:val="000000"/>
          <w:kern w:val="0"/>
          <w:sz w:val="32"/>
          <w:szCs w:val="32"/>
        </w:rPr>
        <w:t>年</w:t>
      </w:r>
      <w:r>
        <w:rPr>
          <w:rFonts w:eastAsia="仿宋_GB2312" w:cs="仿宋_GB2312" w:hint="eastAsia"/>
          <w:snapToGrid w:val="0"/>
          <w:color w:val="000000"/>
          <w:kern w:val="0"/>
          <w:sz w:val="32"/>
          <w:szCs w:val="32"/>
        </w:rPr>
        <w:t>。</w:t>
      </w:r>
    </w:p>
    <w:p w:rsidR="0059773C" w:rsidRDefault="0059773C">
      <w:pPr>
        <w:pStyle w:val="7"/>
        <w:spacing w:line="578" w:lineRule="exact"/>
        <w:ind w:left="0"/>
      </w:pPr>
    </w:p>
    <w:p w:rsidR="0059773C" w:rsidRDefault="0059773C">
      <w:pPr>
        <w:spacing w:line="578" w:lineRule="exact"/>
        <w:rPr>
          <w:rFonts w:ascii="仿宋_GB2312" w:eastAsia="仿宋_GB2312"/>
          <w:sz w:val="32"/>
        </w:rPr>
      </w:pPr>
    </w:p>
    <w:p w:rsidR="0059773C" w:rsidRDefault="0059773C">
      <w:pPr>
        <w:spacing w:line="578" w:lineRule="exact"/>
        <w:rPr>
          <w:rFonts w:ascii="仿宋_GB2312" w:eastAsia="仿宋_GB2312"/>
          <w:sz w:val="32"/>
        </w:rPr>
      </w:pPr>
    </w:p>
    <w:p w:rsidR="0059773C" w:rsidRDefault="0059773C">
      <w:pPr>
        <w:pStyle w:val="Default"/>
        <w:autoSpaceDE/>
        <w:autoSpaceDN/>
        <w:spacing w:line="578" w:lineRule="exact"/>
        <w:rPr>
          <w:sz w:val="32"/>
        </w:rPr>
      </w:pPr>
    </w:p>
    <w:p w:rsidR="0059773C" w:rsidRDefault="00B8713F">
      <w:pPr>
        <w:pStyle w:val="Default"/>
        <w:autoSpaceDE/>
        <w:autoSpaceDN/>
        <w:spacing w:line="578" w:lineRule="exact"/>
        <w:ind w:firstLineChars="200" w:firstLine="640"/>
        <w:rPr>
          <w:sz w:val="32"/>
        </w:rPr>
      </w:pPr>
      <w:r>
        <w:rPr>
          <w:rFonts w:hint="eastAsia"/>
          <w:sz w:val="32"/>
        </w:rPr>
        <w:t>（此页无正文）</w:t>
      </w: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59773C">
      <w:pPr>
        <w:pStyle w:val="Default"/>
        <w:autoSpaceDE/>
        <w:autoSpaceDN/>
        <w:spacing w:line="578" w:lineRule="exact"/>
        <w:rPr>
          <w:sz w:val="32"/>
        </w:rPr>
      </w:pPr>
    </w:p>
    <w:p w:rsidR="0059773C" w:rsidRDefault="00B8713F">
      <w:pPr>
        <w:spacing w:line="578" w:lineRule="exact"/>
        <w:ind w:rightChars="100" w:right="210"/>
      </w:pPr>
      <w:r>
        <w:rPr>
          <w:noProof/>
        </w:rPr>
        <mc:AlternateContent>
          <mc:Choice Requires="wps">
            <w:drawing>
              <wp:anchor distT="0" distB="0" distL="114300" distR="114300" simplePos="0" relativeHeight="251701248"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a:effectLst/>
                      </wps:spPr>
                      <wps:bodyPr/>
                    </wps:wsp>
                  </a:graphicData>
                </a:graphic>
              </wp:anchor>
            </w:drawing>
          </mc:Choice>
          <mc:Fallback>
            <w:pict>
              <v:line w14:anchorId="4E34B654" id="Line 4"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05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" strokeweight="1.5p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a:effectLst/>
                      </wps:spPr>
                      <wps:bodyPr/>
                    </wps:wsp>
                  </a:graphicData>
                </a:graphic>
              </wp:anchor>
            </w:drawing>
          </mc:Choice>
          <mc:Fallback>
            <w:pict>
              <v:line w14:anchorId="0A39CA21" id="Line 5"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0,30.5pt" to="441.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" strokeweight="1.5pt"/>
            </w:pict>
          </mc:Fallback>
        </mc:AlternateContent>
      </w:r>
      <w:r>
        <w:rPr>
          <w:noProof/>
        </w:rPr>
        <mc:AlternateContent>
          <mc:Choice Requires="wps">
            <w:drawing>
              <wp:anchor distT="0" distB="0" distL="114300" distR="114300" simplePos="0" relativeHeight="251703296" behindDoc="0" locked="0" layoutInCell="0" allowOverlap="1">
                <wp:simplePos x="0" y="0"/>
                <wp:positionH relativeFrom="column">
                  <wp:posOffset>0</wp:posOffset>
                </wp:positionH>
                <wp:positionV relativeFrom="paragraph">
                  <wp:posOffset>0</wp:posOffset>
                </wp:positionV>
                <wp:extent cx="560133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9525">
                          <a:solidFill>
                            <a:srgbClr val="000000"/>
                          </a:solidFill>
                          <a:round/>
                        </a:ln>
                        <a:effectLst/>
                      </wps:spPr>
                      <wps:bodyPr/>
                    </wps:wsp>
                  </a:graphicData>
                </a:graphic>
              </wp:anchor>
            </w:drawing>
          </mc:Choice>
          <mc:Fallback>
            <w:pict>
              <v:line w14:anchorId="4641E342" id="Line 6"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0,0" to="44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" o:allowincell="f"/>
            </w:pict>
          </mc:Fallback>
        </mc:AlternateContent>
      </w:r>
      <w:r>
        <w:rPr>
          <w:rFonts w:eastAsia="仿宋_GB2312" w:hint="eastAsia"/>
          <w:sz w:val="28"/>
          <w:szCs w:val="28"/>
        </w:rPr>
        <w:t xml:space="preserve">  </w:t>
      </w:r>
      <w:r>
        <w:rPr>
          <w:rFonts w:eastAsia="仿宋_GB2312" w:hint="eastAsia"/>
          <w:sz w:val="28"/>
          <w:szCs w:val="28"/>
        </w:rPr>
        <w:t>天津市医疗保障局办公室</w:t>
      </w:r>
      <w:r>
        <w:rPr>
          <w:rFonts w:eastAsia="仿宋_GB2312" w:hint="eastAsia"/>
          <w:sz w:val="28"/>
          <w:szCs w:val="28"/>
        </w:rPr>
        <w:t xml:space="preserve">         </w:t>
      </w:r>
      <w:r>
        <w:rPr>
          <w:rFonts w:eastAsia="仿宋_GB2312" w:hint="eastAsia"/>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25</w:t>
      </w:r>
      <w:r>
        <w:rPr>
          <w:rFonts w:eastAsia="仿宋_GB2312" w:hint="eastAsia"/>
          <w:sz w:val="28"/>
          <w:szCs w:val="28"/>
        </w:rPr>
        <w:t>年</w:t>
      </w:r>
      <w:r>
        <w:rPr>
          <w:rFonts w:eastAsia="仿宋_GB2312" w:hint="eastAsia"/>
          <w:sz w:val="28"/>
          <w:szCs w:val="28"/>
        </w:rPr>
        <w:t>11</w:t>
      </w:r>
      <w:r>
        <w:rPr>
          <w:rFonts w:eastAsia="仿宋_GB2312" w:hint="eastAsia"/>
          <w:sz w:val="28"/>
          <w:szCs w:val="28"/>
        </w:rPr>
        <w:t>月</w:t>
      </w:r>
      <w:r>
        <w:rPr>
          <w:rFonts w:eastAsia="仿宋_GB2312" w:hint="eastAsia"/>
          <w:sz w:val="28"/>
          <w:szCs w:val="28"/>
        </w:rPr>
        <w:t>3</w:t>
      </w:r>
      <w:r>
        <w:rPr>
          <w:rFonts w:eastAsia="仿宋_GB2312" w:hint="eastAsia"/>
          <w:sz w:val="28"/>
          <w:szCs w:val="28"/>
        </w:rPr>
        <w:t>日印发</w:t>
      </w:r>
    </w:p>
    <w:sectPr w:rsidR="0059773C">
      <w:footerReference w:type="even" r:id="rId7"/>
      <w:footerReference w:type="default" r:id="rId8"/>
      <w:pgSz w:w="11906" w:h="16838"/>
      <w:pgMar w:top="1440" w:right="1531" w:bottom="1440"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713F">
      <w:r>
        <w:separator/>
      </w:r>
    </w:p>
  </w:endnote>
  <w:endnote w:type="continuationSeparator" w:id="0">
    <w:p w:rsidR="00000000" w:rsidRDefault="00B8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简小标宋">
    <w:altName w:val="黑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3C" w:rsidRDefault="00B8713F">
    <w:pPr>
      <w:pStyle w:val="a6"/>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59773C" w:rsidRDefault="0059773C">
    <w:pPr>
      <w:pStyle w:val="a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3C" w:rsidRDefault="00B8713F">
    <w:pPr>
      <w:pStyle w:val="a6"/>
      <w:ind w:right="360" w:firstLine="360"/>
    </w:pPr>
    <w:r>
      <w:rPr>
        <w:noProof/>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9773C" w:rsidRDefault="00B8713F">
                          <w:pPr>
                            <w:pStyle w:val="a6"/>
                            <w:rPr>
                              <w:rStyle w:val="aa"/>
                              <w:rFonts w:ascii="宋体" w:hAnsi="宋体"/>
                              <w:sz w:val="28"/>
                              <w:szCs w:val="28"/>
                            </w:rPr>
                          </w:pP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noProof/>
                              <w:sz w:val="28"/>
                              <w:szCs w:val="28"/>
                            </w:rPr>
                            <w:t>- 1 -</w:t>
                          </w:r>
                          <w:r>
                            <w:rPr>
                              <w:rStyle w:val="aa"/>
                              <w:rFonts w:ascii="宋体" w:hAnsi="宋体"/>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7012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pzWqDcsBAABtAwAADgAAAAAAAAAAAAAA&#10;AAAuAgAAZHJzL2Uyb0RvYy54bWxQSwECLQAUAAYACAAAACEADErw7tYAAAAFAQAADwAAAAAAAAAA&#10;AAAAAAAlBAAAZHJzL2Rvd25yZXYueG1sUEsFBgAAAAAEAAQA8wAAACgFAAAAAA==&#10;" filled="f" stroked="f">
              <v:textbox style="mso-fit-shape-to-text:t" inset="0,0,0,0">
                <w:txbxContent>
                  <w:p w:rsidR="0059773C" w:rsidRDefault="00B8713F">
                    <w:pPr>
                      <w:pStyle w:val="a6"/>
                      <w:rPr>
                        <w:rStyle w:val="aa"/>
                        <w:rFonts w:ascii="宋体" w:hAnsi="宋体"/>
                        <w:sz w:val="28"/>
                        <w:szCs w:val="28"/>
                      </w:rPr>
                    </w:pP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noProof/>
                        <w:sz w:val="28"/>
                        <w:szCs w:val="28"/>
                      </w:rPr>
                      <w:t>- 1 -</w:t>
                    </w:r>
                    <w:r>
                      <w:rPr>
                        <w:rStyle w:val="aa"/>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713F">
      <w:r>
        <w:separator/>
      </w:r>
    </w:p>
  </w:footnote>
  <w:footnote w:type="continuationSeparator" w:id="0">
    <w:p w:rsidR="00000000" w:rsidRDefault="00B87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B97F9A5A"/>
    <w:rsid w:val="EB75A1CE"/>
    <w:rsid w:val="ED7EB0B2"/>
    <w:rsid w:val="FBDB3AF6"/>
    <w:rsid w:val="FE3B0D43"/>
    <w:rsid w:val="FFDEC255"/>
    <w:rsid w:val="FFFD3184"/>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9773C"/>
    <w:rsid w:val="005F3A91"/>
    <w:rsid w:val="00637666"/>
    <w:rsid w:val="00653E0B"/>
    <w:rsid w:val="00833FB4"/>
    <w:rsid w:val="00864DF6"/>
    <w:rsid w:val="00896547"/>
    <w:rsid w:val="008E1795"/>
    <w:rsid w:val="00957982"/>
    <w:rsid w:val="009A720A"/>
    <w:rsid w:val="009D3C84"/>
    <w:rsid w:val="00A76EA1"/>
    <w:rsid w:val="00AC36C9"/>
    <w:rsid w:val="00B7313E"/>
    <w:rsid w:val="00B8713F"/>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2FB9D797"/>
    <w:rsid w:val="36675545"/>
    <w:rsid w:val="3D9B7B84"/>
    <w:rsid w:val="46DD9A49"/>
    <w:rsid w:val="6DFFDDCC"/>
    <w:rsid w:val="76DF9460"/>
    <w:rsid w:val="7FDF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448898"/>
  <w15:docId w15:val="{98D0C1F8-9622-4E75-BFD9-AF15D9C7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index 7"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5">
    <w:name w:val="index 5"/>
    <w:basedOn w:val="a"/>
    <w:next w:val="a"/>
    <w:qFormat/>
    <w:pPr>
      <w:ind w:left="1680"/>
    </w:pPr>
    <w:rPr>
      <w:rFonts w:ascii="Calibri" w:hAnsi="Calibri"/>
      <w:szCs w:val="22"/>
    </w:rPr>
  </w:style>
  <w:style w:type="paragraph" w:styleId="a3">
    <w:name w:val="Body Text"/>
    <w:basedOn w:val="a"/>
    <w:qFormat/>
    <w:pPr>
      <w:jc w:val="center"/>
    </w:pPr>
    <w:rPr>
      <w:sz w:val="44"/>
    </w:rPr>
  </w:style>
  <w:style w:type="paragraph" w:styleId="a4">
    <w:name w:val="Body Text Indent"/>
    <w:basedOn w:val="a"/>
    <w:qFormat/>
    <w:pPr>
      <w:ind w:firstLine="360"/>
    </w:pPr>
  </w:style>
  <w:style w:type="paragraph" w:styleId="a5">
    <w:name w:val="Date"/>
    <w:basedOn w:val="a"/>
    <w:next w:val="a"/>
    <w:qFormat/>
    <w:rPr>
      <w:rFonts w:ascii="仿宋_GB2312" w:eastAsia="仿宋_GB2312"/>
      <w:sz w:val="32"/>
    </w:rPr>
  </w:style>
  <w:style w:type="paragraph" w:styleId="a6">
    <w:name w:val="footer"/>
    <w:basedOn w:val="a"/>
    <w:next w:val="5"/>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rPr>
      <w:rFonts w:ascii="Calibri" w:hAnsi="Calibri"/>
      <w:szCs w:val="22"/>
    </w:rPr>
  </w:style>
  <w:style w:type="paragraph" w:styleId="a8">
    <w:name w:val="Normal (Web)"/>
    <w:qFormat/>
    <w:pPr>
      <w:spacing w:before="100" w:beforeAutospacing="1" w:after="100" w:afterAutospacing="1"/>
    </w:pPr>
    <w:rPr>
      <w:rFonts w:ascii="宋体" w:cs="宋体"/>
      <w:sz w:val="24"/>
      <w:szCs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KaiTi">
    <w:name w:val="KaiTi"/>
    <w:qFormat/>
    <w:rPr>
      <w:rFonts w:ascii="楷体_GB2312" w:eastAsia="楷体_GB2312" w:hAnsi="楷体_GB2312" w:cs="楷体_GB2312"/>
      <w:sz w:val="32"/>
    </w:rPr>
  </w:style>
  <w:style w:type="character" w:customStyle="1" w:styleId="HeiTi">
    <w:name w:val="Hei Ti"/>
    <w:qFormat/>
    <w:rPr>
      <w:rFonts w:ascii="黑体" w:eastAsia="黑体" w:hAnsi="黑体" w:cs="黑体"/>
      <w:sz w:val="32"/>
    </w:rPr>
  </w:style>
  <w:style w:type="character" w:customStyle="1" w:styleId="HeiTiBold">
    <w:name w:val="Hei Ti Bold"/>
    <w:qFormat/>
    <w:rPr>
      <w:rFonts w:ascii="黑体" w:eastAsia="黑体" w:hAnsi="黑体" w:cs="黑体"/>
      <w:b/>
      <w:sz w:val="32"/>
    </w:rPr>
  </w:style>
  <w:style w:type="character" w:customStyle="1" w:styleId="GB2312">
    <w:name w:val="GB_2312"/>
    <w:qFormat/>
    <w:rPr>
      <w:rFonts w:ascii="仿宋_GB2312" w:eastAsia="仿宋_GB2312" w:hAnsi="仿宋_GB2312" w:cs="仿宋_GB2312"/>
      <w:sz w:val="32"/>
    </w:rPr>
  </w:style>
  <w:style w:type="character" w:customStyle="1" w:styleId="HeiTiBold1">
    <w:name w:val="Hei Ti Bold1"/>
    <w:qFormat/>
    <w:rPr>
      <w:rFonts w:ascii="黑体" w:eastAsia="黑体" w:hAnsi="黑体" w:cs="黑体"/>
      <w:b/>
      <w:sz w:val="36"/>
    </w:rPr>
  </w:style>
  <w:style w:type="character" w:customStyle="1" w:styleId="FzXbs">
    <w:name w:val="Fz_Xbs"/>
    <w:qFormat/>
    <w:rPr>
      <w:rFonts w:ascii="方正小标宋简体" w:eastAsia="方正小标宋简体" w:hAnsi="方正小标宋简体" w:cs="方正小标宋简体"/>
      <w:sz w:val="44"/>
    </w:rPr>
  </w:style>
  <w:style w:type="character" w:customStyle="1" w:styleId="RedColor">
    <w:name w:val="Red_Color"/>
    <w:qFormat/>
    <w:rPr>
      <w:rFonts w:ascii="方正小标宋简体" w:eastAsia="方正小标宋简体" w:hAnsi="方正小标宋简体" w:cs="方正小标宋简体"/>
      <w:color w:val="000000"/>
      <w:sz w:val="65"/>
    </w:rPr>
  </w:style>
  <w:style w:type="character" w:customStyle="1" w:styleId="GB23121">
    <w:name w:val="GB_23121"/>
    <w:qFormat/>
    <w:rPr>
      <w:rFonts w:ascii="仿宋_GB2312" w:eastAsia="仿宋_GB2312" w:hAnsi="仿宋_GB2312" w:cs="仿宋_GB2312"/>
      <w:sz w:val="36"/>
    </w:rPr>
  </w:style>
  <w:style w:type="character" w:customStyle="1" w:styleId="HeiTi1">
    <w:name w:val="Hei Ti1"/>
    <w:qFormat/>
    <w:rPr>
      <w:rFonts w:ascii="黑体" w:eastAsia="黑体" w:hAnsi="黑体" w:cs="黑体"/>
      <w:sz w:val="32"/>
    </w:rPr>
  </w:style>
  <w:style w:type="character" w:customStyle="1" w:styleId="HeiTiBold2">
    <w:name w:val="Hei Ti Bold2"/>
    <w:qFormat/>
    <w:rPr>
      <w:rFonts w:ascii="黑体" w:eastAsia="黑体" w:hAnsi="黑体" w:cs="黑体"/>
      <w:b/>
      <w:sz w:val="32"/>
    </w:rPr>
  </w:style>
  <w:style w:type="character" w:customStyle="1" w:styleId="HeiTiBold3">
    <w:name w:val="Hei Ti Bold3"/>
    <w:qFormat/>
    <w:rPr>
      <w:rFonts w:ascii="黑体" w:eastAsia="黑体" w:hAnsi="黑体" w:cs="黑体"/>
      <w:b/>
      <w:sz w:val="36"/>
    </w:rPr>
  </w:style>
  <w:style w:type="character" w:customStyle="1" w:styleId="GB23122">
    <w:name w:val="GB_23122"/>
    <w:qFormat/>
    <w:rPr>
      <w:rFonts w:ascii="仿宋_GB2312" w:eastAsia="仿宋_GB2312" w:hAnsi="仿宋_GB2312" w:cs="仿宋_GB2312"/>
      <w:sz w:val="32"/>
    </w:rPr>
  </w:style>
  <w:style w:type="character" w:customStyle="1" w:styleId="GB23123">
    <w:name w:val="GB_23123"/>
    <w:qFormat/>
    <w:rPr>
      <w:rFonts w:ascii="仿宋_GB2312" w:eastAsia="仿宋_GB2312" w:hAnsi="仿宋_GB2312" w:cs="仿宋_GB2312"/>
      <w:sz w:val="36"/>
    </w:rPr>
  </w:style>
  <w:style w:type="character" w:customStyle="1" w:styleId="RedColor1">
    <w:name w:val="Red_Color1"/>
    <w:qFormat/>
    <w:rPr>
      <w:rFonts w:ascii="方正小标宋简体" w:eastAsia="方正小标宋简体" w:hAnsi="方正小标宋简体" w:cs="方正小标宋简体"/>
      <w:color w:val="000000"/>
      <w:sz w:val="65"/>
    </w:rPr>
  </w:style>
  <w:style w:type="character" w:customStyle="1" w:styleId="KaiTi1">
    <w:name w:val="KaiTi1"/>
    <w:qFormat/>
    <w:rPr>
      <w:rFonts w:ascii="楷体_GB2312" w:eastAsia="楷体_GB2312" w:hAnsi="楷体_GB2312" w:cs="楷体_GB2312"/>
      <w:sz w:val="32"/>
    </w:rPr>
  </w:style>
  <w:style w:type="character" w:customStyle="1" w:styleId="FzXbs1">
    <w:name w:val="Fz_Xbs1"/>
    <w:qFormat/>
    <w:rPr>
      <w:rFonts w:ascii="方正小标宋简体" w:eastAsia="方正小标宋简体" w:hAnsi="方正小标宋简体" w:cs="方正小标宋简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Tech-Winning</cp:lastModifiedBy>
  <cp:revision>4</cp:revision>
  <cp:lastPrinted>2005-02-18T07:04:00Z</cp:lastPrinted>
  <dcterms:created xsi:type="dcterms:W3CDTF">2021-03-28T03:26:00Z</dcterms:created>
  <dcterms:modified xsi:type="dcterms:W3CDTF">2025-12-03T07:12:00Z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