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4D882">
      <w:pPr>
        <w:pStyle w:val="3"/>
        <w:spacing w:line="580" w:lineRule="exact"/>
        <w:jc w:val="both"/>
        <w:rPr>
          <w:rFonts w:ascii="Times New Roman" w:hAnsi="Times New Roman"/>
        </w:rPr>
      </w:pPr>
    </w:p>
    <w:p w14:paraId="150EECAC">
      <w:pPr>
        <w:pStyle w:val="3"/>
        <w:keepNext w:val="0"/>
        <w:keepLines w:val="0"/>
        <w:pageBreakBefore w:val="0"/>
        <w:widowControl w:val="0"/>
        <w:kinsoku/>
        <w:wordWrap/>
        <w:overflowPunct/>
        <w:topLinePunct w:val="0"/>
        <w:autoSpaceDE/>
        <w:autoSpaceDN/>
        <w:bidi w:val="0"/>
        <w:snapToGrid/>
        <w:spacing w:line="580" w:lineRule="exact"/>
        <w:textAlignment w:val="auto"/>
        <w:rPr>
          <w:rFonts w:hint="default" w:eastAsia="方正小标宋简体"/>
          <w:bCs/>
          <w:szCs w:val="44"/>
        </w:rPr>
      </w:pPr>
      <w:r>
        <w:rPr>
          <w:rFonts w:hint="default" w:eastAsia="方正小标宋简体"/>
          <w:bCs/>
          <w:szCs w:val="44"/>
        </w:rPr>
        <w:t>市人社局关于调整</w:t>
      </w:r>
      <w:r>
        <w:rPr>
          <w:rFonts w:hint="default" w:eastAsia="方正小标宋简体"/>
          <w:bCs/>
          <w:szCs w:val="44"/>
          <w:lang w:eastAsia="zh-CN"/>
        </w:rPr>
        <w:t>天津市</w:t>
      </w:r>
      <w:r>
        <w:rPr>
          <w:rFonts w:hint="default" w:eastAsia="方正小标宋简体"/>
          <w:bCs/>
          <w:szCs w:val="44"/>
        </w:rPr>
        <w:t>202</w:t>
      </w:r>
      <w:r>
        <w:rPr>
          <w:rFonts w:hint="eastAsia" w:eastAsia="方正小标宋简体"/>
          <w:bCs/>
          <w:szCs w:val="44"/>
          <w:lang w:val="en-US" w:eastAsia="zh-CN"/>
        </w:rPr>
        <w:t>5</w:t>
      </w:r>
      <w:r>
        <w:rPr>
          <w:rFonts w:hint="default" w:eastAsia="方正小标宋简体"/>
          <w:bCs/>
          <w:szCs w:val="44"/>
        </w:rPr>
        <w:t>年工伤保险</w:t>
      </w:r>
    </w:p>
    <w:p w14:paraId="3E5F29E4">
      <w:pPr>
        <w:pStyle w:val="3"/>
        <w:keepNext w:val="0"/>
        <w:keepLines w:val="0"/>
        <w:pageBreakBefore w:val="0"/>
        <w:widowControl w:val="0"/>
        <w:kinsoku/>
        <w:wordWrap/>
        <w:overflowPunct/>
        <w:topLinePunct w:val="0"/>
        <w:autoSpaceDE/>
        <w:autoSpaceDN/>
        <w:bidi w:val="0"/>
        <w:snapToGrid/>
        <w:spacing w:line="580" w:lineRule="exact"/>
        <w:textAlignment w:val="auto"/>
        <w:rPr>
          <w:rFonts w:hint="default" w:eastAsia="方正小标宋简体"/>
          <w:bCs/>
          <w:szCs w:val="44"/>
        </w:rPr>
      </w:pPr>
      <w:r>
        <w:rPr>
          <w:rFonts w:hint="default" w:eastAsia="方正小标宋简体"/>
          <w:bCs/>
          <w:szCs w:val="44"/>
        </w:rPr>
        <w:t>待遇标准有关问题的通知</w:t>
      </w:r>
    </w:p>
    <w:p w14:paraId="7760ABC9">
      <w:pPr>
        <w:pStyle w:val="3"/>
        <w:spacing w:line="600" w:lineRule="exact"/>
        <w:rPr>
          <w:rFonts w:hint="eastAsia" w:ascii="Times New Roman" w:hAnsi="Times New Roman" w:eastAsia="文星简小标宋"/>
          <w:sz w:val="32"/>
          <w:szCs w:val="32"/>
        </w:rPr>
      </w:pPr>
    </w:p>
    <w:p w14:paraId="1B05FAC4">
      <w:pPr>
        <w:keepNext w:val="0"/>
        <w:keepLines w:val="0"/>
        <w:pageBreakBefore w:val="0"/>
        <w:widowControl w:val="0"/>
        <w:kinsoku/>
        <w:wordWrap/>
        <w:overflowPunct/>
        <w:topLinePunct w:val="0"/>
        <w:autoSpaceDE/>
        <w:autoSpaceDN/>
        <w:bidi w:val="0"/>
        <w:snapToGrid/>
        <w:spacing w:line="600" w:lineRule="exact"/>
        <w:textAlignment w:val="auto"/>
        <w:rPr>
          <w:rFonts w:hint="eastAsia" w:ascii="Times New Roman" w:eastAsia="仿宋_GB2312"/>
          <w:sz w:val="32"/>
        </w:rPr>
      </w:pPr>
      <w:r>
        <w:rPr>
          <w:rFonts w:hint="eastAsia" w:ascii="Times New Roman" w:eastAsia="仿宋_GB2312"/>
          <w:sz w:val="32"/>
        </w:rPr>
        <w:t>各区人力资源和社会保障局，各委办局（集团公司）人力资源部门，有关单位：</w:t>
      </w:r>
    </w:p>
    <w:p w14:paraId="2AEF4FA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eastAsia="仿宋_GB2312"/>
          <w:szCs w:val="32"/>
        </w:rPr>
      </w:pPr>
      <w:r>
        <w:rPr>
          <w:rFonts w:eastAsia="仿宋_GB2312"/>
          <w:sz w:val="32"/>
          <w:szCs w:val="32"/>
        </w:rPr>
        <w:t>为保障一级至四级工伤人员及工亡人员供养亲属基本生活，根据《工伤保险条例》（国务院令第586号）、《人力资源社会保障部关于工伤保险待遇调整和确定机制的指导意见》（人社部发〔2017〕58号）要求，</w:t>
      </w:r>
      <w:r>
        <w:rPr>
          <w:rFonts w:hint="eastAsia" w:eastAsia="仿宋_GB2312"/>
          <w:sz w:val="32"/>
          <w:szCs w:val="32"/>
          <w:lang w:eastAsia="zh-CN"/>
        </w:rPr>
        <w:t>经市人民政府同意，</w:t>
      </w:r>
      <w:r>
        <w:rPr>
          <w:rFonts w:eastAsia="仿宋_GB2312"/>
          <w:sz w:val="32"/>
          <w:szCs w:val="32"/>
        </w:rPr>
        <w:t>现就</w:t>
      </w:r>
      <w:r>
        <w:rPr>
          <w:rFonts w:hint="eastAsia" w:eastAsia="仿宋_GB2312"/>
          <w:sz w:val="32"/>
          <w:szCs w:val="32"/>
          <w:lang w:eastAsia="zh-CN"/>
        </w:rPr>
        <w:t>调整</w:t>
      </w:r>
      <w:r>
        <w:rPr>
          <w:rFonts w:hint="eastAsia" w:eastAsia="仿宋_GB2312"/>
          <w:sz w:val="32"/>
          <w:szCs w:val="32"/>
        </w:rPr>
        <w:t>天津市</w:t>
      </w:r>
      <w:r>
        <w:rPr>
          <w:rFonts w:eastAsia="仿宋_GB2312"/>
          <w:sz w:val="32"/>
          <w:szCs w:val="32"/>
        </w:rPr>
        <w:t>202</w:t>
      </w:r>
      <w:r>
        <w:rPr>
          <w:rFonts w:hint="default" w:eastAsia="仿宋_GB2312"/>
          <w:sz w:val="32"/>
          <w:szCs w:val="32"/>
        </w:rPr>
        <w:t>5</w:t>
      </w:r>
      <w:r>
        <w:rPr>
          <w:rFonts w:eastAsia="仿宋_GB2312"/>
          <w:sz w:val="32"/>
          <w:szCs w:val="32"/>
        </w:rPr>
        <w:t>年工伤保险待遇</w:t>
      </w:r>
      <w:r>
        <w:rPr>
          <w:rFonts w:hint="eastAsia" w:eastAsia="仿宋_GB2312"/>
          <w:sz w:val="32"/>
          <w:szCs w:val="32"/>
          <w:lang w:eastAsia="zh-CN"/>
        </w:rPr>
        <w:t>标准有关问题通知如下</w:t>
      </w:r>
      <w:r>
        <w:rPr>
          <w:rFonts w:eastAsia="仿宋_GB2312"/>
          <w:sz w:val="32"/>
          <w:szCs w:val="32"/>
        </w:rPr>
        <w:t>：</w:t>
      </w:r>
    </w:p>
    <w:p w14:paraId="105A84B3">
      <w:pPr>
        <w:keepNext w:val="0"/>
        <w:keepLines w:val="0"/>
        <w:pageBreakBefore w:val="0"/>
        <w:widowControl w:val="0"/>
        <w:tabs>
          <w:tab w:val="left" w:pos="7920"/>
        </w:tabs>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一、伤残津贴</w:t>
      </w:r>
    </w:p>
    <w:p w14:paraId="3817FF4E">
      <w:pPr>
        <w:keepNext w:val="0"/>
        <w:keepLines w:val="0"/>
        <w:pageBreakBefore w:val="0"/>
        <w:widowControl w:val="0"/>
        <w:tabs>
          <w:tab w:val="left" w:pos="7920"/>
        </w:tabs>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年12月31日前享受伤残津贴的一级至四级工伤职工（不包括领取退休人员基本养老金的退休工伤人员），根据伤残等级每人每月分别增加津贴：一级伤残1</w:t>
      </w:r>
      <w:r>
        <w:rPr>
          <w:rFonts w:hint="eastAsia" w:eastAsia="仿宋_GB2312"/>
          <w:sz w:val="32"/>
          <w:szCs w:val="32"/>
          <w:lang w:val="en-US" w:eastAsia="zh-CN"/>
        </w:rPr>
        <w:t>24</w:t>
      </w:r>
      <w:r>
        <w:rPr>
          <w:rFonts w:eastAsia="仿宋_GB2312"/>
          <w:sz w:val="32"/>
          <w:szCs w:val="32"/>
        </w:rPr>
        <w:t>元</w:t>
      </w:r>
      <w:r>
        <w:rPr>
          <w:rFonts w:hint="eastAsia" w:eastAsia="仿宋_GB2312"/>
          <w:sz w:val="32"/>
          <w:szCs w:val="32"/>
          <w:lang w:eastAsia="zh-CN"/>
        </w:rPr>
        <w:t>、</w:t>
      </w:r>
      <w:r>
        <w:rPr>
          <w:rFonts w:eastAsia="仿宋_GB2312"/>
          <w:sz w:val="32"/>
          <w:szCs w:val="32"/>
        </w:rPr>
        <w:t>二级伤残1</w:t>
      </w:r>
      <w:r>
        <w:rPr>
          <w:rFonts w:hint="eastAsia" w:eastAsia="仿宋_GB2312"/>
          <w:sz w:val="32"/>
          <w:szCs w:val="32"/>
          <w:lang w:val="en-US" w:eastAsia="zh-CN"/>
        </w:rPr>
        <w:t>14</w:t>
      </w:r>
      <w:r>
        <w:rPr>
          <w:rFonts w:eastAsia="仿宋_GB2312"/>
          <w:sz w:val="32"/>
          <w:szCs w:val="32"/>
        </w:rPr>
        <w:t>元</w:t>
      </w:r>
      <w:r>
        <w:rPr>
          <w:rFonts w:hint="eastAsia" w:eastAsia="仿宋_GB2312"/>
          <w:sz w:val="32"/>
          <w:szCs w:val="32"/>
          <w:lang w:eastAsia="zh-CN"/>
        </w:rPr>
        <w:t>、</w:t>
      </w:r>
      <w:r>
        <w:rPr>
          <w:rFonts w:eastAsia="仿宋_GB2312"/>
          <w:sz w:val="32"/>
          <w:szCs w:val="32"/>
        </w:rPr>
        <w:t>三级伤残1</w:t>
      </w:r>
      <w:r>
        <w:rPr>
          <w:rFonts w:hint="eastAsia" w:eastAsia="仿宋_GB2312"/>
          <w:sz w:val="32"/>
          <w:szCs w:val="32"/>
          <w:lang w:val="en-US" w:eastAsia="zh-CN"/>
        </w:rPr>
        <w:t>04</w:t>
      </w:r>
      <w:r>
        <w:rPr>
          <w:rFonts w:eastAsia="仿宋_GB2312"/>
          <w:sz w:val="32"/>
          <w:szCs w:val="32"/>
        </w:rPr>
        <w:t>元</w:t>
      </w:r>
      <w:r>
        <w:rPr>
          <w:rFonts w:hint="eastAsia" w:eastAsia="仿宋_GB2312"/>
          <w:sz w:val="32"/>
          <w:szCs w:val="32"/>
          <w:lang w:eastAsia="zh-CN"/>
        </w:rPr>
        <w:t>、</w:t>
      </w:r>
      <w:r>
        <w:rPr>
          <w:rFonts w:eastAsia="仿宋_GB2312"/>
          <w:sz w:val="32"/>
          <w:szCs w:val="32"/>
        </w:rPr>
        <w:t>四级伤残</w:t>
      </w:r>
      <w:r>
        <w:rPr>
          <w:rFonts w:hint="eastAsia" w:eastAsia="仿宋_GB2312"/>
          <w:sz w:val="32"/>
          <w:szCs w:val="32"/>
          <w:lang w:val="en-US" w:eastAsia="zh-CN"/>
        </w:rPr>
        <w:t>94</w:t>
      </w:r>
      <w:r>
        <w:rPr>
          <w:rFonts w:eastAsia="仿宋_GB2312"/>
          <w:sz w:val="32"/>
          <w:szCs w:val="32"/>
        </w:rPr>
        <w:t>元。调整后伤残津贴每月低于下列标准的由工伤保险基金予以补齐，具体标准：一级伤残</w:t>
      </w:r>
      <w:r>
        <w:rPr>
          <w:rFonts w:hint="eastAsia" w:eastAsia="仿宋_GB2312"/>
          <w:sz w:val="32"/>
          <w:szCs w:val="32"/>
          <w:lang w:val="en-US" w:eastAsia="zh-CN"/>
        </w:rPr>
        <w:t>4643</w:t>
      </w:r>
      <w:r>
        <w:rPr>
          <w:rFonts w:eastAsia="仿宋_GB2312"/>
          <w:sz w:val="32"/>
          <w:szCs w:val="32"/>
        </w:rPr>
        <w:t>元、二级伤残</w:t>
      </w:r>
      <w:r>
        <w:rPr>
          <w:rFonts w:hint="eastAsia" w:eastAsia="仿宋_GB2312"/>
          <w:sz w:val="32"/>
          <w:szCs w:val="32"/>
          <w:lang w:val="en-US" w:eastAsia="zh-CN"/>
        </w:rPr>
        <w:t>4441</w:t>
      </w:r>
      <w:r>
        <w:rPr>
          <w:rFonts w:eastAsia="仿宋_GB2312"/>
          <w:sz w:val="32"/>
          <w:szCs w:val="32"/>
        </w:rPr>
        <w:t>元、三级伤残</w:t>
      </w:r>
      <w:r>
        <w:rPr>
          <w:rFonts w:hint="eastAsia" w:eastAsia="仿宋_GB2312"/>
          <w:sz w:val="32"/>
          <w:szCs w:val="32"/>
          <w:lang w:val="en-US" w:eastAsia="zh-CN"/>
        </w:rPr>
        <w:t>4239</w:t>
      </w:r>
      <w:r>
        <w:rPr>
          <w:rFonts w:eastAsia="仿宋_GB2312"/>
          <w:sz w:val="32"/>
          <w:szCs w:val="32"/>
        </w:rPr>
        <w:t>元、四级伤残</w:t>
      </w:r>
      <w:r>
        <w:rPr>
          <w:rFonts w:hint="eastAsia" w:eastAsia="仿宋_GB2312"/>
          <w:sz w:val="32"/>
          <w:szCs w:val="32"/>
          <w:lang w:val="en-US" w:eastAsia="zh-CN"/>
        </w:rPr>
        <w:t>4037</w:t>
      </w:r>
      <w:r>
        <w:rPr>
          <w:rFonts w:eastAsia="仿宋_GB2312"/>
          <w:sz w:val="32"/>
          <w:szCs w:val="32"/>
        </w:rPr>
        <w:t>元。</w:t>
      </w:r>
    </w:p>
    <w:p w14:paraId="22F97D5D">
      <w:pPr>
        <w:keepNext w:val="0"/>
        <w:keepLines w:val="0"/>
        <w:pageBreakBefore w:val="0"/>
        <w:widowControl w:val="0"/>
        <w:tabs>
          <w:tab w:val="left" w:pos="7920"/>
        </w:tabs>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由用人单位按月发放伤残津贴的五级、六级工伤职工，其伤残津贴实际金额低于本市最低工资标准的，由用人单位补足差额。</w:t>
      </w:r>
    </w:p>
    <w:p w14:paraId="525A936D">
      <w:pPr>
        <w:keepNext w:val="0"/>
        <w:keepLines w:val="0"/>
        <w:pageBreakBefore w:val="0"/>
        <w:widowControl w:val="0"/>
        <w:tabs>
          <w:tab w:val="left" w:pos="7920"/>
        </w:tabs>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二、退休工伤人员补贴</w:t>
      </w:r>
    </w:p>
    <w:p w14:paraId="5B5FF43D">
      <w:pPr>
        <w:keepNext w:val="0"/>
        <w:keepLines w:val="0"/>
        <w:pageBreakBefore w:val="0"/>
        <w:widowControl w:val="0"/>
        <w:tabs>
          <w:tab w:val="left" w:pos="7920"/>
        </w:tabs>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年12月31日前鉴定为一级至四级伤残的退休工伤人员（包括退职人员），根据伤残等级每人每月分别增加补贴：</w:t>
      </w:r>
      <w:r>
        <w:rPr>
          <w:rFonts w:eastAsia="仿宋_GB2312"/>
          <w:color w:val="000000"/>
          <w:sz w:val="32"/>
          <w:szCs w:val="32"/>
        </w:rPr>
        <w:t>一级伤残60元</w:t>
      </w:r>
      <w:r>
        <w:rPr>
          <w:rFonts w:hint="eastAsia" w:eastAsia="仿宋_GB2312"/>
          <w:color w:val="000000"/>
          <w:sz w:val="32"/>
          <w:szCs w:val="32"/>
          <w:lang w:eastAsia="zh-CN"/>
        </w:rPr>
        <w:t>、</w:t>
      </w:r>
      <w:r>
        <w:rPr>
          <w:rFonts w:eastAsia="仿宋_GB2312"/>
          <w:color w:val="000000"/>
          <w:sz w:val="32"/>
          <w:szCs w:val="32"/>
        </w:rPr>
        <w:t>二级伤残50元</w:t>
      </w:r>
      <w:r>
        <w:rPr>
          <w:rFonts w:hint="eastAsia" w:eastAsia="仿宋_GB2312"/>
          <w:color w:val="000000"/>
          <w:sz w:val="32"/>
          <w:szCs w:val="32"/>
          <w:lang w:eastAsia="zh-CN"/>
        </w:rPr>
        <w:t>、</w:t>
      </w:r>
      <w:r>
        <w:rPr>
          <w:rFonts w:eastAsia="仿宋_GB2312"/>
          <w:color w:val="000000"/>
          <w:sz w:val="32"/>
          <w:szCs w:val="32"/>
        </w:rPr>
        <w:t>三级伤残40元</w:t>
      </w:r>
      <w:r>
        <w:rPr>
          <w:rFonts w:hint="eastAsia" w:eastAsia="仿宋_GB2312"/>
          <w:color w:val="000000"/>
          <w:sz w:val="32"/>
          <w:szCs w:val="32"/>
          <w:lang w:eastAsia="zh-CN"/>
        </w:rPr>
        <w:t>、</w:t>
      </w:r>
      <w:r>
        <w:rPr>
          <w:rFonts w:eastAsia="仿宋_GB2312"/>
          <w:color w:val="000000"/>
          <w:sz w:val="32"/>
          <w:szCs w:val="32"/>
        </w:rPr>
        <w:t>四级伤残30元。</w:t>
      </w:r>
      <w:r>
        <w:rPr>
          <w:rFonts w:eastAsia="仿宋_GB2312"/>
          <w:sz w:val="32"/>
          <w:szCs w:val="32"/>
        </w:rPr>
        <w:t>调整后退休工伤人员补贴与养老金之和每月低于下列标准的由工伤保险基金予以补齐，具体标准：一级伤残</w:t>
      </w:r>
      <w:r>
        <w:rPr>
          <w:rFonts w:hint="eastAsia" w:eastAsia="仿宋_GB2312"/>
          <w:sz w:val="32"/>
          <w:szCs w:val="32"/>
          <w:lang w:val="en-US" w:eastAsia="zh-CN"/>
        </w:rPr>
        <w:t>4643</w:t>
      </w:r>
      <w:r>
        <w:rPr>
          <w:rFonts w:eastAsia="仿宋_GB2312"/>
          <w:sz w:val="32"/>
          <w:szCs w:val="32"/>
        </w:rPr>
        <w:t>元、二级伤残</w:t>
      </w:r>
      <w:r>
        <w:rPr>
          <w:rFonts w:hint="eastAsia" w:eastAsia="仿宋_GB2312"/>
          <w:sz w:val="32"/>
          <w:szCs w:val="32"/>
          <w:lang w:val="en-US" w:eastAsia="zh-CN"/>
        </w:rPr>
        <w:t>4441</w:t>
      </w:r>
      <w:r>
        <w:rPr>
          <w:rFonts w:eastAsia="仿宋_GB2312"/>
          <w:sz w:val="32"/>
          <w:szCs w:val="32"/>
        </w:rPr>
        <w:t>元、三级伤残</w:t>
      </w:r>
      <w:r>
        <w:rPr>
          <w:rFonts w:hint="eastAsia" w:eastAsia="仿宋_GB2312"/>
          <w:sz w:val="32"/>
          <w:szCs w:val="32"/>
        </w:rPr>
        <w:t>4</w:t>
      </w:r>
      <w:r>
        <w:rPr>
          <w:rFonts w:hint="eastAsia" w:eastAsia="仿宋_GB2312"/>
          <w:sz w:val="32"/>
          <w:szCs w:val="32"/>
          <w:lang w:val="en-US" w:eastAsia="zh-CN"/>
        </w:rPr>
        <w:t>239</w:t>
      </w:r>
      <w:r>
        <w:rPr>
          <w:rFonts w:eastAsia="仿宋_GB2312"/>
          <w:sz w:val="32"/>
          <w:szCs w:val="32"/>
        </w:rPr>
        <w:t>元、四级伤残</w:t>
      </w:r>
      <w:r>
        <w:rPr>
          <w:rFonts w:hint="eastAsia" w:eastAsia="仿宋_GB2312"/>
          <w:sz w:val="32"/>
          <w:szCs w:val="32"/>
          <w:lang w:val="en-US" w:eastAsia="zh-CN"/>
        </w:rPr>
        <w:t>4037</w:t>
      </w:r>
      <w:r>
        <w:rPr>
          <w:rFonts w:eastAsia="仿宋_GB2312"/>
          <w:sz w:val="32"/>
          <w:szCs w:val="32"/>
        </w:rPr>
        <w:t>元。</w:t>
      </w:r>
    </w:p>
    <w:p w14:paraId="621A7017">
      <w:pPr>
        <w:keepNext w:val="0"/>
        <w:keepLines w:val="0"/>
        <w:pageBreakBefore w:val="0"/>
        <w:widowControl w:val="0"/>
        <w:tabs>
          <w:tab w:val="left" w:pos="7920"/>
        </w:tabs>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三、供养亲属抚恤金</w:t>
      </w:r>
    </w:p>
    <w:p w14:paraId="428E613F">
      <w:pPr>
        <w:keepNext w:val="0"/>
        <w:keepLines w:val="0"/>
        <w:pageBreakBefore w:val="0"/>
        <w:widowControl w:val="0"/>
        <w:tabs>
          <w:tab w:val="left" w:pos="7920"/>
        </w:tabs>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202</w:t>
      </w:r>
      <w:r>
        <w:rPr>
          <w:rFonts w:hint="eastAsia" w:eastAsia="仿宋_GB2312"/>
          <w:sz w:val="32"/>
          <w:szCs w:val="32"/>
          <w:lang w:val="en-US" w:eastAsia="zh-CN"/>
        </w:rPr>
        <w:t>4</w:t>
      </w:r>
      <w:r>
        <w:rPr>
          <w:rFonts w:eastAsia="仿宋_GB2312"/>
          <w:sz w:val="32"/>
          <w:szCs w:val="32"/>
        </w:rPr>
        <w:t>年12月31日前领取供养亲属抚恤金的工亡职工供养亲属，配偶每人每月增加</w:t>
      </w:r>
      <w:r>
        <w:rPr>
          <w:rFonts w:hint="eastAsia" w:eastAsia="仿宋_GB2312"/>
          <w:sz w:val="32"/>
          <w:szCs w:val="32"/>
          <w:lang w:val="en-US" w:eastAsia="zh-CN"/>
        </w:rPr>
        <w:t>46</w:t>
      </w:r>
      <w:r>
        <w:rPr>
          <w:rFonts w:eastAsia="仿宋_GB2312"/>
          <w:sz w:val="32"/>
          <w:szCs w:val="32"/>
        </w:rPr>
        <w:t>元，最低发放标准</w:t>
      </w:r>
      <w:r>
        <w:rPr>
          <w:rFonts w:hint="default" w:eastAsia="仿宋_GB2312"/>
          <w:sz w:val="32"/>
          <w:szCs w:val="32"/>
        </w:rPr>
        <w:t>19</w:t>
      </w:r>
      <w:r>
        <w:rPr>
          <w:rFonts w:hint="eastAsia" w:eastAsia="仿宋_GB2312"/>
          <w:sz w:val="32"/>
          <w:szCs w:val="32"/>
          <w:lang w:val="en-US" w:eastAsia="zh-CN"/>
        </w:rPr>
        <w:t>57</w:t>
      </w:r>
      <w:r>
        <w:rPr>
          <w:rFonts w:eastAsia="仿宋_GB2312"/>
          <w:sz w:val="32"/>
          <w:szCs w:val="32"/>
        </w:rPr>
        <w:t>元；其他供养亲属每人每月增加</w:t>
      </w:r>
      <w:r>
        <w:rPr>
          <w:rFonts w:hint="eastAsia" w:eastAsia="仿宋_GB2312"/>
          <w:sz w:val="32"/>
          <w:szCs w:val="32"/>
          <w:lang w:val="en-US" w:eastAsia="zh-CN"/>
        </w:rPr>
        <w:t>35</w:t>
      </w:r>
      <w:r>
        <w:rPr>
          <w:rFonts w:eastAsia="仿宋_GB2312"/>
          <w:sz w:val="32"/>
          <w:szCs w:val="32"/>
        </w:rPr>
        <w:t>元，最低发放标准</w:t>
      </w:r>
      <w:r>
        <w:rPr>
          <w:rFonts w:hint="eastAsia" w:eastAsia="仿宋_GB2312"/>
          <w:color w:val="000000"/>
          <w:sz w:val="32"/>
          <w:szCs w:val="32"/>
        </w:rPr>
        <w:t>1</w:t>
      </w:r>
      <w:r>
        <w:rPr>
          <w:rFonts w:hint="default" w:eastAsia="仿宋_GB2312"/>
          <w:color w:val="000000"/>
          <w:sz w:val="32"/>
          <w:szCs w:val="32"/>
        </w:rPr>
        <w:t>4</w:t>
      </w:r>
      <w:r>
        <w:rPr>
          <w:rFonts w:hint="eastAsia" w:eastAsia="仿宋_GB2312"/>
          <w:color w:val="000000"/>
          <w:sz w:val="32"/>
          <w:szCs w:val="32"/>
          <w:lang w:val="en-US" w:eastAsia="zh-CN"/>
        </w:rPr>
        <w:t>67</w:t>
      </w:r>
      <w:r>
        <w:rPr>
          <w:rFonts w:eastAsia="仿宋_GB2312"/>
          <w:sz w:val="32"/>
          <w:szCs w:val="32"/>
        </w:rPr>
        <w:t>元。</w:t>
      </w:r>
    </w:p>
    <w:p w14:paraId="51BCEBAF">
      <w:pPr>
        <w:keepNext w:val="0"/>
        <w:keepLines w:val="0"/>
        <w:pageBreakBefore w:val="0"/>
        <w:widowControl w:val="0"/>
        <w:tabs>
          <w:tab w:val="left" w:pos="7920"/>
        </w:tabs>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四、支付渠道</w:t>
      </w:r>
    </w:p>
    <w:p w14:paraId="34FBD7C5">
      <w:pPr>
        <w:keepNext w:val="0"/>
        <w:keepLines w:val="0"/>
        <w:pageBreakBefore w:val="0"/>
        <w:widowControl w:val="0"/>
        <w:tabs>
          <w:tab w:val="left" w:pos="7920"/>
        </w:tabs>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参加工伤保险社会统筹的，由工伤保险基金支付；未参加工伤保险社会统筹的，由用人单位支付。</w:t>
      </w:r>
    </w:p>
    <w:p w14:paraId="7BB93277">
      <w:pPr>
        <w:keepNext w:val="0"/>
        <w:keepLines w:val="0"/>
        <w:pageBreakBefore w:val="0"/>
        <w:widowControl w:val="0"/>
        <w:tabs>
          <w:tab w:val="left" w:pos="7920"/>
        </w:tabs>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五、执行时间</w:t>
      </w:r>
    </w:p>
    <w:p w14:paraId="078C65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eastAsia="仿宋_GB2312"/>
          <w:sz w:val="32"/>
          <w:szCs w:val="32"/>
        </w:rPr>
      </w:pPr>
      <w:r>
        <w:rPr>
          <w:rFonts w:eastAsia="仿宋_GB2312"/>
          <w:sz w:val="32"/>
          <w:szCs w:val="32"/>
        </w:rPr>
        <w:t>自202</w:t>
      </w:r>
      <w:r>
        <w:rPr>
          <w:rFonts w:hint="eastAsia" w:eastAsia="仿宋_GB2312"/>
          <w:sz w:val="32"/>
          <w:szCs w:val="32"/>
          <w:lang w:val="en-US" w:eastAsia="zh-CN"/>
        </w:rPr>
        <w:t>5</w:t>
      </w:r>
      <w:r>
        <w:rPr>
          <w:rFonts w:eastAsia="仿宋_GB2312"/>
          <w:sz w:val="32"/>
          <w:szCs w:val="32"/>
        </w:rPr>
        <w:t>年1月1日起执行。</w:t>
      </w:r>
    </w:p>
    <w:p w14:paraId="7DB18346">
      <w:pPr>
        <w:keepNext w:val="0"/>
        <w:keepLines w:val="0"/>
        <w:pageBreakBefore w:val="0"/>
        <w:widowControl w:val="0"/>
        <w:kinsoku/>
        <w:wordWrap/>
        <w:overflowPunct/>
        <w:topLinePunct w:val="0"/>
        <w:autoSpaceDE/>
        <w:autoSpaceDN/>
        <w:bidi w:val="0"/>
        <w:snapToGrid/>
        <w:spacing w:line="600" w:lineRule="exact"/>
        <w:textAlignment w:val="auto"/>
        <w:rPr>
          <w:rFonts w:hint="eastAsia" w:eastAsia="仿宋_GB2312"/>
          <w:sz w:val="32"/>
          <w:lang w:val="en-US" w:eastAsia="zh-CN"/>
        </w:rPr>
      </w:pPr>
    </w:p>
    <w:p w14:paraId="2061F1CF">
      <w:pPr>
        <w:pStyle w:val="2"/>
        <w:keepNext w:val="0"/>
        <w:keepLines w:val="0"/>
        <w:pageBreakBefore w:val="0"/>
        <w:widowControl w:val="0"/>
        <w:kinsoku/>
        <w:wordWrap/>
        <w:overflowPunct/>
        <w:topLinePunct w:val="0"/>
        <w:autoSpaceDE/>
        <w:autoSpaceDN/>
        <w:bidi w:val="0"/>
        <w:snapToGrid/>
        <w:spacing w:line="600" w:lineRule="exact"/>
        <w:jc w:val="both"/>
        <w:textAlignment w:val="auto"/>
        <w:rPr>
          <w:rFonts w:hint="eastAsia"/>
          <w:lang w:val="en-US" w:eastAsia="zh-CN"/>
        </w:rPr>
      </w:pPr>
    </w:p>
    <w:p w14:paraId="1BD18915">
      <w:pPr>
        <w:pStyle w:val="2"/>
        <w:keepNext w:val="0"/>
        <w:keepLines w:val="0"/>
        <w:pageBreakBefore w:val="0"/>
        <w:widowControl w:val="0"/>
        <w:kinsoku/>
        <w:wordWrap/>
        <w:overflowPunct/>
        <w:topLinePunct w:val="0"/>
        <w:autoSpaceDE/>
        <w:autoSpaceDN/>
        <w:bidi w:val="0"/>
        <w:snapToGrid/>
        <w:spacing w:line="600" w:lineRule="exact"/>
        <w:jc w:val="both"/>
        <w:textAlignment w:val="auto"/>
        <w:rPr>
          <w:rFonts w:hint="eastAsia"/>
          <w:lang w:val="en-US" w:eastAsia="zh-CN"/>
        </w:rPr>
      </w:pPr>
    </w:p>
    <w:p w14:paraId="258F5902">
      <w:pPr>
        <w:keepNext w:val="0"/>
        <w:keepLines w:val="0"/>
        <w:pageBreakBefore w:val="0"/>
        <w:widowControl w:val="0"/>
        <w:kinsoku/>
        <w:wordWrap/>
        <w:overflowPunct/>
        <w:topLinePunct w:val="0"/>
        <w:autoSpaceDE/>
        <w:autoSpaceDN/>
        <w:bidi w:val="0"/>
        <w:snapToGrid/>
        <w:spacing w:line="600" w:lineRule="exact"/>
        <w:textAlignment w:val="auto"/>
        <w:rPr>
          <w:rFonts w:hint="eastAsia" w:eastAsia="仿宋_GB2312"/>
          <w:sz w:val="32"/>
          <w:lang w:val="en-US" w:eastAsia="zh-CN"/>
        </w:rPr>
      </w:pPr>
    </w:p>
    <w:p w14:paraId="79A54AF2">
      <w:pPr>
        <w:keepNext w:val="0"/>
        <w:keepLines w:val="0"/>
        <w:pageBreakBefore w:val="0"/>
        <w:widowControl w:val="0"/>
        <w:kinsoku/>
        <w:wordWrap/>
        <w:overflowPunct/>
        <w:topLinePunct w:val="0"/>
        <w:autoSpaceDE/>
        <w:autoSpaceDN/>
        <w:bidi w:val="0"/>
        <w:snapToGrid/>
        <w:spacing w:line="600" w:lineRule="exact"/>
        <w:textAlignment w:val="auto"/>
        <w:rPr>
          <w:rFonts w:hint="eastAsia" w:eastAsia="仿宋_GB2312"/>
          <w:sz w:val="32"/>
          <w:lang w:val="en-US" w:eastAsia="zh-CN"/>
        </w:rPr>
      </w:pPr>
      <w:r>
        <w:rPr>
          <w:rFonts w:hint="eastAsia" w:eastAsia="仿宋_GB2312"/>
          <w:sz w:val="32"/>
          <w:lang w:val="en-US" w:eastAsia="zh-CN"/>
        </w:rPr>
        <w:t xml:space="preserve">                            </w:t>
      </w:r>
      <w:r>
        <w:rPr>
          <w:rFonts w:hint="default" w:eastAsia="仿宋_GB2312"/>
          <w:sz w:val="32"/>
          <w:lang w:val="en" w:eastAsia="zh-CN"/>
        </w:rPr>
        <w:t xml:space="preserve">      </w:t>
      </w:r>
      <w:r>
        <w:rPr>
          <w:rFonts w:hint="eastAsia" w:eastAsia="仿宋_GB2312"/>
          <w:sz w:val="32"/>
          <w:lang w:val="en-US" w:eastAsia="zh-CN"/>
        </w:rPr>
        <w:t>2025年9月16日</w:t>
      </w:r>
    </w:p>
    <w:p w14:paraId="0326FFCE">
      <w:pPr>
        <w:keepNext w:val="0"/>
        <w:keepLines w:val="0"/>
        <w:pageBreakBefore w:val="0"/>
        <w:widowControl w:val="0"/>
        <w:tabs>
          <w:tab w:val="left" w:pos="7920"/>
        </w:tabs>
        <w:kinsoku/>
        <w:wordWrap/>
        <w:overflowPunct/>
        <w:topLinePunct w:val="0"/>
        <w:autoSpaceDE/>
        <w:autoSpaceDN/>
        <w:bidi w:val="0"/>
        <w:adjustRightInd w:val="0"/>
        <w:snapToGrid/>
        <w:spacing w:line="600" w:lineRule="exact"/>
        <w:ind w:firstLine="640" w:firstLineChars="200"/>
        <w:textAlignment w:val="auto"/>
        <w:rPr>
          <w:rFonts w:hint="default" w:eastAsia="仿宋_GB2312"/>
          <w:sz w:val="32"/>
          <w:szCs w:val="32"/>
          <w:lang w:val="en-US" w:eastAsia="zh-CN"/>
        </w:rPr>
      </w:pPr>
      <w:r>
        <w:rPr>
          <w:rFonts w:hint="default" w:eastAsia="仿宋_GB2312"/>
          <w:sz w:val="32"/>
          <w:szCs w:val="32"/>
          <w:lang w:val="en-US" w:eastAsia="zh-CN"/>
        </w:rPr>
        <w:t>（此件主动公开）</w:t>
      </w:r>
    </w:p>
    <w:p w14:paraId="17EA5B84">
      <w:pPr>
        <w:tabs>
          <w:tab w:val="left" w:pos="7920"/>
        </w:tabs>
        <w:adjustRightInd w:val="0"/>
        <w:snapToGrid/>
        <w:spacing w:line="600" w:lineRule="exact"/>
        <w:ind w:firstLine="640" w:firstLineChars="200"/>
        <w:rPr>
          <w:rFonts w:hint="eastAsia" w:ascii="Times New Roman" w:eastAsia="仿宋_GB2312"/>
          <w:sz w:val="32"/>
        </w:rPr>
      </w:pPr>
    </w:p>
    <w:p w14:paraId="7A2E6049">
      <w:pPr>
        <w:pStyle w:val="2"/>
        <w:rPr>
          <w:rFonts w:hint="eastAsia" w:ascii="Times New Roman" w:eastAsia="仿宋_GB2312"/>
          <w:sz w:val="32"/>
        </w:rPr>
      </w:pPr>
    </w:p>
    <w:p w14:paraId="7244FF8F">
      <w:pPr>
        <w:pStyle w:val="2"/>
        <w:rPr>
          <w:rFonts w:hint="eastAsia" w:ascii="Times New Roman" w:eastAsia="仿宋_GB2312"/>
          <w:sz w:val="32"/>
        </w:rPr>
      </w:pPr>
    </w:p>
    <w:p w14:paraId="4E41F080">
      <w:pPr>
        <w:pStyle w:val="2"/>
        <w:rPr>
          <w:rFonts w:hint="eastAsia" w:ascii="Times New Roman" w:eastAsia="仿宋_GB2312"/>
          <w:sz w:val="32"/>
        </w:rPr>
      </w:pPr>
    </w:p>
    <w:p w14:paraId="419F6106">
      <w:pPr>
        <w:pStyle w:val="2"/>
        <w:rPr>
          <w:rFonts w:hint="eastAsia" w:ascii="Times New Roman" w:eastAsia="仿宋_GB2312"/>
          <w:sz w:val="32"/>
        </w:rPr>
      </w:pPr>
    </w:p>
    <w:p w14:paraId="3AFEA378">
      <w:pPr>
        <w:pStyle w:val="2"/>
        <w:rPr>
          <w:rFonts w:hint="eastAsia" w:ascii="Times New Roman" w:eastAsia="仿宋_GB2312"/>
          <w:sz w:val="32"/>
        </w:rPr>
      </w:pPr>
    </w:p>
    <w:p w14:paraId="59C6EF4D">
      <w:pPr>
        <w:pStyle w:val="2"/>
        <w:rPr>
          <w:rFonts w:hint="eastAsia" w:ascii="Times New Roman" w:eastAsia="仿宋_GB2312"/>
          <w:sz w:val="32"/>
        </w:rPr>
      </w:pPr>
    </w:p>
    <w:p w14:paraId="0877F416">
      <w:pPr>
        <w:pStyle w:val="2"/>
        <w:rPr>
          <w:rFonts w:hint="eastAsia" w:ascii="Times New Roman" w:eastAsia="仿宋_GB2312"/>
          <w:sz w:val="32"/>
        </w:rPr>
      </w:pPr>
    </w:p>
    <w:p w14:paraId="6569EBE4">
      <w:pPr>
        <w:pStyle w:val="2"/>
        <w:rPr>
          <w:rFonts w:hint="eastAsia" w:ascii="Times New Roman" w:eastAsia="仿宋_GB2312"/>
          <w:sz w:val="32"/>
        </w:rPr>
      </w:pPr>
    </w:p>
    <w:p w14:paraId="335F3879">
      <w:pPr>
        <w:pStyle w:val="2"/>
        <w:rPr>
          <w:rFonts w:hint="eastAsia" w:ascii="Times New Roman" w:eastAsia="仿宋_GB2312"/>
          <w:sz w:val="32"/>
        </w:rPr>
      </w:pPr>
    </w:p>
    <w:p w14:paraId="2DB3CB93">
      <w:pPr>
        <w:pStyle w:val="2"/>
        <w:jc w:val="both"/>
        <w:rPr>
          <w:rFonts w:hint="eastAsia" w:ascii="Times New Roman" w:eastAsia="仿宋_GB2312"/>
          <w:sz w:val="32"/>
        </w:rPr>
      </w:pPr>
      <w:bookmarkStart w:id="0" w:name="_GoBack"/>
      <w:bookmarkEnd w:id="0"/>
    </w:p>
    <w:p w14:paraId="127EFCF6">
      <w:pPr>
        <w:pStyle w:val="2"/>
        <w:rPr>
          <w:rFonts w:hint="eastAsia" w:ascii="Times New Roman" w:eastAsia="仿宋_GB2312"/>
          <w:sz w:val="32"/>
        </w:rPr>
      </w:pPr>
    </w:p>
    <w:p w14:paraId="1E50516D">
      <w:pPr>
        <w:pStyle w:val="2"/>
        <w:rPr>
          <w:rFonts w:hint="eastAsia" w:ascii="Times New Roman" w:eastAsia="仿宋_GB2312"/>
          <w:sz w:val="32"/>
        </w:rPr>
      </w:pPr>
    </w:p>
    <w:p w14:paraId="2B56E483">
      <w:pPr>
        <w:pStyle w:val="2"/>
        <w:rPr>
          <w:rFonts w:hint="eastAsia" w:ascii="Times New Roman" w:eastAsia="仿宋_GB2312"/>
          <w:sz w:val="32"/>
        </w:rPr>
      </w:pPr>
    </w:p>
    <w:p w14:paraId="476DD636">
      <w:pPr>
        <w:pStyle w:val="2"/>
        <w:rPr>
          <w:rFonts w:hint="eastAsia" w:ascii="Times New Roman" w:eastAsia="仿宋_GB2312"/>
          <w:sz w:val="32"/>
        </w:rPr>
      </w:pPr>
    </w:p>
    <w:p w14:paraId="6E936979">
      <w:pPr>
        <w:pStyle w:val="2"/>
        <w:rPr>
          <w:rFonts w:hint="eastAsia" w:ascii="Times New Roman" w:eastAsia="仿宋_GB2312"/>
          <w:sz w:val="32"/>
        </w:rPr>
      </w:pPr>
    </w:p>
    <w:p w14:paraId="6210645D">
      <w:pPr>
        <w:pStyle w:val="2"/>
        <w:rPr>
          <w:rFonts w:hint="eastAsia" w:ascii="Times New Roman" w:eastAsia="仿宋_GB2312"/>
          <w:sz w:val="32"/>
        </w:rPr>
      </w:pPr>
    </w:p>
    <w:p w14:paraId="1E1BFABC">
      <w:pPr>
        <w:pStyle w:val="2"/>
        <w:ind w:left="0" w:leftChars="0" w:firstLine="0" w:firstLineChars="0"/>
        <w:jc w:val="both"/>
        <w:rPr>
          <w:rFonts w:hint="eastAsia" w:ascii="Times New Roman" w:eastAsia="仿宋_GB2312"/>
          <w:sz w:val="32"/>
        </w:rPr>
      </w:pPr>
    </w:p>
    <w:p w14:paraId="245CD6E2">
      <w:pPr>
        <w:pStyle w:val="2"/>
        <w:rPr>
          <w:rFonts w:hint="eastAsia" w:ascii="Times New Roman" w:eastAsia="仿宋_GB2312"/>
          <w:sz w:val="32"/>
        </w:rPr>
      </w:pPr>
    </w:p>
    <w:p w14:paraId="4C076B0B">
      <w:pPr>
        <w:pStyle w:val="2"/>
        <w:rPr>
          <w:rFonts w:hint="eastAsia" w:ascii="Times New Roman" w:eastAsia="仿宋_GB2312"/>
          <w:sz w:val="32"/>
        </w:rPr>
      </w:pPr>
    </w:p>
    <w:p w14:paraId="044B335E">
      <w:pPr>
        <w:pStyle w:val="7"/>
        <w:adjustRightInd/>
        <w:spacing w:line="600" w:lineRule="exact"/>
        <w:ind w:firstLine="280" w:firstLineChars="100"/>
        <w:jc w:val="left"/>
        <w:rPr>
          <w:rFonts w:hint="eastAsia" w:ascii="仿宋_GB2312" w:eastAsia="仿宋_GB2312"/>
          <w:sz w:val="32"/>
        </w:rPr>
      </w:pPr>
      <w:r>
        <w:rPr>
          <w:rFonts w:ascii="Times New Roman" w:hAnsi="Times New Roman" w:eastAsia="仿宋_GB2312"/>
          <w:sz w:val="28"/>
          <w:szCs w:val="28"/>
        </w:rPr>
        <mc:AlternateContent>
          <mc:Choice Requires="wps">
            <w:drawing>
              <wp:anchor distT="0" distB="0" distL="114300" distR="114300" simplePos="0" relativeHeight="251659264" behindDoc="0" locked="0" layoutInCell="0" allowOverlap="1">
                <wp:simplePos x="0" y="0"/>
                <wp:positionH relativeFrom="column">
                  <wp:posOffset>-9525</wp:posOffset>
                </wp:positionH>
                <wp:positionV relativeFrom="paragraph">
                  <wp:posOffset>9525</wp:posOffset>
                </wp:positionV>
                <wp:extent cx="5601335" cy="0"/>
                <wp:effectExtent l="0" t="9525" r="18415" b="952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75pt;margin-top:0.75pt;height:0pt;width:441.05pt;z-index:251659264;mso-width-relative:page;mso-height-relative:page;" filled="f" stroked="t" coordsize="21600,21600" o:allowincell="f" o:gfxdata="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5Mb+tIAAAAG&#10;AQAADwAAAAAAAAABACAAAAAiAAAAZHJzL2Rvd25yZXYueG1sUEsBAhQAFAAAAAgAh07iQCmkpPfp&#10;AQAAuQMAAA4AAAAAAAAAAQAgAAAAIQEAAGRycy9lMm9Eb2MueG1sUEsFBgAAAAAGAAYAWQEAAHwF&#10;AAAAAA==&#10;">
                <v:fill on="f" focussize="0,0"/>
                <v:stroke weight="1.5pt" color="#000000" joinstyle="round"/>
                <v:imagedata o:title=""/>
                <o:lock v:ext="edit" aspectratio="f"/>
              </v:line>
            </w:pict>
          </mc:Fallback>
        </mc:AlternateContent>
      </w:r>
      <w:r>
        <w:rPr>
          <w:rFonts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434975</wp:posOffset>
                </wp:positionV>
                <wp:extent cx="5601335" cy="0"/>
                <wp:effectExtent l="0" t="9525" r="18415" b="952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75pt;margin-top:34.25pt;height:0pt;width:441.05pt;z-index:251660288;mso-width-relative:page;mso-height-relative:page;" filled="f" stroked="t" coordsize="21600,21600" o:gfxdata="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mQbgNUA&#10;AAAIAQAADwAAAAAAAAABACAAAAAiAAAAZHJzL2Rvd25yZXYueG1sUEsBAhQAFAAAAAgAh07iQGXi&#10;t7fpAQAAuQMAAA4AAAAAAAAAAQAgAAAAJAEAAGRycy9lMm9Eb2MueG1sUEsFBgAAAAAGAAYAWQEA&#10;AH8FAAAAAA==&#10;">
                <v:fill on="f" focussize="0,0"/>
                <v:stroke weight="1.5pt"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hint="eastAsia" w:eastAsia="仿宋_GB2312"/>
          <w:sz w:val="28"/>
          <w:szCs w:val="28"/>
          <w:lang w:val="en-US" w:eastAsia="zh-CN"/>
        </w:rPr>
        <w:t xml:space="preserve"> </w:t>
      </w:r>
      <w:r>
        <w:rPr>
          <w:rFonts w:hint="eastAsia" w:ascii="Times New Roman" w:eastAsia="仿宋_GB2312"/>
          <w:sz w:val="28"/>
          <w:szCs w:val="28"/>
        </w:rPr>
        <w:t xml:space="preserve">   </w:t>
      </w:r>
      <w:r>
        <w:rPr>
          <w:rFonts w:eastAsia="仿宋_GB2312"/>
          <w:sz w:val="28"/>
          <w:szCs w:val="28"/>
        </w:rPr>
        <w:t>20</w:t>
      </w:r>
      <w:r>
        <w:rPr>
          <w:rFonts w:hint="eastAsia" w:eastAsia="仿宋_GB2312"/>
          <w:sz w:val="28"/>
          <w:szCs w:val="28"/>
        </w:rPr>
        <w:t>2</w:t>
      </w:r>
      <w:r>
        <w:rPr>
          <w:rFonts w:hint="default" w:eastAsia="仿宋_GB2312"/>
          <w:sz w:val="28"/>
          <w:szCs w:val="28"/>
          <w:lang w:val="en" w:eastAsia="zh-CN"/>
        </w:rPr>
        <w:t>5</w:t>
      </w:r>
      <w:r>
        <w:rPr>
          <w:rFonts w:hint="eastAsia" w:ascii="Times New Roman" w:eastAsia="仿宋_GB2312"/>
          <w:sz w:val="28"/>
          <w:szCs w:val="28"/>
        </w:rPr>
        <w:t>年</w:t>
      </w:r>
      <w:r>
        <w:rPr>
          <w:rFonts w:hint="eastAsia" w:eastAsia="仿宋_GB2312"/>
          <w:sz w:val="28"/>
          <w:szCs w:val="28"/>
          <w:lang w:val="en-US" w:eastAsia="zh-CN"/>
        </w:rPr>
        <w:t>9</w:t>
      </w:r>
      <w:r>
        <w:rPr>
          <w:rFonts w:hint="eastAsia" w:ascii="Times New Roman" w:eastAsia="仿宋_GB2312"/>
          <w:sz w:val="28"/>
          <w:szCs w:val="28"/>
        </w:rPr>
        <w:t>月</w:t>
      </w:r>
      <w:r>
        <w:rPr>
          <w:rFonts w:hint="eastAsia" w:eastAsia="仿宋_GB2312"/>
          <w:sz w:val="28"/>
          <w:szCs w:val="28"/>
          <w:lang w:val="en-US" w:eastAsia="zh-CN"/>
        </w:rPr>
        <w:t>17</w:t>
      </w:r>
      <w:r>
        <w:rPr>
          <w:rFonts w:hint="eastAsia" w:ascii="Times New Roman" w:eastAsia="仿宋_GB2312"/>
          <w:sz w:val="28"/>
          <w:szCs w:val="28"/>
        </w:rPr>
        <w:t>日印发</w:t>
      </w:r>
    </w:p>
    <w:sectPr>
      <w:footerReference r:id="rId3" w:type="default"/>
      <w:footerReference r:id="rId4" w:type="even"/>
      <w:pgSz w:w="11906" w:h="16838"/>
      <w:pgMar w:top="2347"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BCCB11-D58F-4E79-AECB-765E9B2F1C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C3838A15-B2EB-4FAE-ADB5-BCBC31B11989}"/>
  </w:font>
  <w:font w:name="仿宋_GB2312">
    <w:panose1 w:val="02010609030101010101"/>
    <w:charset w:val="86"/>
    <w:family w:val="modern"/>
    <w:pitch w:val="default"/>
    <w:sig w:usb0="00000001" w:usb1="080E0000" w:usb2="00000000" w:usb3="00000000" w:csb0="00040000" w:csb1="00000000"/>
    <w:embedRegular r:id="rId3" w:fontKey="{75DFA01A-9323-4145-9E15-6D3C5425A07E}"/>
  </w:font>
  <w:font w:name="楷体_GB2312">
    <w:panose1 w:val="02010609030101010101"/>
    <w:charset w:val="86"/>
    <w:family w:val="auto"/>
    <w:pitch w:val="default"/>
    <w:sig w:usb0="00000001" w:usb1="080E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embedRegular r:id="rId4" w:fontKey="{B300DE3C-B3CB-4D66-870A-54B1CCF5AEF8}"/>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C65BE">
    <w:pPr>
      <w:pStyle w:val="7"/>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1F9FF195">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F8FC4">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6834A672">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6FF6A30"/>
    <w:rsid w:val="1E9D8461"/>
    <w:rsid w:val="20AD6E4E"/>
    <w:rsid w:val="341738CF"/>
    <w:rsid w:val="42AA374C"/>
    <w:rsid w:val="4A053934"/>
    <w:rsid w:val="6CE53E4D"/>
    <w:rsid w:val="7B9A1752"/>
    <w:rsid w:val="7DDFE03D"/>
    <w:rsid w:val="7FC581C3"/>
    <w:rsid w:val="AA978FAB"/>
    <w:rsid w:val="BFE6B4AD"/>
    <w:rsid w:val="DDFF7764"/>
    <w:rsid w:val="FB2FBD88"/>
    <w:rsid w:val="FE7FD1D5"/>
    <w:rsid w:val="FFFEA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560" w:lineRule="exact"/>
      <w:ind w:firstLine="721" w:firstLineChars="200"/>
    </w:pPr>
    <w:rPr>
      <w:rFonts w:eastAsia="仿宋_GB2312"/>
      <w:sz w:val="32"/>
    </w:rPr>
  </w:style>
  <w:style w:type="paragraph" w:styleId="3">
    <w:name w:val="Body Text"/>
    <w:basedOn w:val="1"/>
    <w:next w:val="1"/>
    <w:qFormat/>
    <w:uiPriority w:val="0"/>
    <w:pPr>
      <w:jc w:val="center"/>
    </w:pPr>
    <w:rPr>
      <w:sz w:val="44"/>
    </w:rPr>
  </w:style>
  <w:style w:type="paragraph" w:styleId="4">
    <w:name w:val="index 5"/>
    <w:basedOn w:val="1"/>
    <w:next w:val="1"/>
    <w:qFormat/>
    <w:uiPriority w:val="0"/>
    <w:pPr>
      <w:ind w:left="1680"/>
    </w:p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footer"/>
    <w:basedOn w:val="1"/>
    <w:next w:val="4"/>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1133</Words>
  <Characters>1253</Characters>
  <Paragraphs>70</Paragraphs>
  <TotalTime>12</TotalTime>
  <ScaleCrop>false</ScaleCrop>
  <LinksUpToDate>false</LinksUpToDate>
  <CharactersWithSpaces>1298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2020-09-16T06:56:00Z</dcterms:created>
  <dc:creator>WPS Office</dc:creator>
  <cp:lastModifiedBy>佟萌萌</cp:lastModifiedBy>
  <cp:lastPrinted>2025-09-18T02:59:00Z</cp:lastPrinted>
  <dcterms:modified xsi:type="dcterms:W3CDTF">2025-09-28T09:46:05Z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8D48D240B411456FBF60EBE70D6315DA_12</vt:lpwstr>
  </property>
</Properties>
</file>