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2D15E">
      <w:pPr>
        <w:spacing w:line="490" w:lineRule="exact"/>
        <w:jc w:val="left"/>
        <w:rPr>
          <w:rFonts w:hint="eastAsia" w:ascii="黑体" w:hAnsi="黑体" w:eastAsia="黑体" w:cs="黑体"/>
          <w:bCs/>
          <w:color w:val="000000"/>
          <w:spacing w:val="4"/>
          <w:w w:val="97"/>
          <w:sz w:val="32"/>
          <w:szCs w:val="32"/>
        </w:rPr>
      </w:pPr>
      <w:r>
        <w:rPr>
          <w:rFonts w:hint="eastAsia" w:ascii="黑体" w:hAnsi="黑体" w:eastAsia="黑体" w:cs="黑体"/>
          <w:bCs/>
          <w:color w:val="000000"/>
          <w:spacing w:val="4"/>
          <w:w w:val="97"/>
          <w:sz w:val="32"/>
          <w:szCs w:val="32"/>
        </w:rPr>
        <w:t>附件8</w:t>
      </w:r>
    </w:p>
    <w:p w14:paraId="3303FC8A">
      <w:pPr>
        <w:spacing w:before="157" w:beforeLines="50" w:after="315" w:afterLines="100" w:line="590" w:lineRule="exact"/>
        <w:jc w:val="center"/>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河南省工伤保险辅助器具配置协议服务机构综合考核表</w:t>
      </w:r>
    </w:p>
    <w:p w14:paraId="3FBF17FC">
      <w:pPr>
        <w:pStyle w:val="5"/>
        <w:ind w:firstLine="0" w:firstLineChars="0"/>
        <w:rPr>
          <w:rFonts w:hint="eastAsia"/>
        </w:rPr>
      </w:pPr>
      <w:r>
        <w:rPr>
          <w:rFonts w:hint="eastAsia" w:ascii="宋体" w:hAnsi="宋体" w:cs="宋体"/>
          <w:color w:val="000000"/>
          <w:kern w:val="0"/>
          <w:szCs w:val="21"/>
          <w:lang w:bidi="ar"/>
        </w:rPr>
        <w:t>辅助器具配置机构名称: （盖章）                                                              编号：</w:t>
      </w:r>
    </w:p>
    <w:tbl>
      <w:tblPr>
        <w:tblStyle w:val="7"/>
        <w:tblW w:w="5142"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1421"/>
        <w:gridCol w:w="590"/>
        <w:gridCol w:w="5635"/>
        <w:gridCol w:w="5082"/>
        <w:gridCol w:w="1312"/>
      </w:tblGrid>
      <w:tr w14:paraId="386BBE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04" w:hRule="atLeast"/>
          <w:tblHeader/>
          <w:jc w:val="center"/>
        </w:trPr>
        <w:tc>
          <w:tcPr>
            <w:tcW w:w="506" w:type="pct"/>
            <w:noWrap w:val="0"/>
            <w:vAlign w:val="center"/>
          </w:tcPr>
          <w:p w14:paraId="42E912FF">
            <w:pPr>
              <w:widowControl/>
              <w:ind w:left="-63" w:leftChars="-30" w:right="-63" w:rightChars="-30"/>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考核项目</w:t>
            </w:r>
          </w:p>
        </w:tc>
        <w:tc>
          <w:tcPr>
            <w:tcW w:w="210" w:type="pct"/>
            <w:noWrap w:val="0"/>
            <w:vAlign w:val="center"/>
          </w:tcPr>
          <w:p w14:paraId="0DBE1CF5">
            <w:pPr>
              <w:widowControl/>
              <w:ind w:left="-63" w:leftChars="-30" w:right="-63" w:rightChars="-30"/>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序号</w:t>
            </w:r>
          </w:p>
        </w:tc>
        <w:tc>
          <w:tcPr>
            <w:tcW w:w="2006" w:type="pct"/>
            <w:noWrap w:val="0"/>
            <w:vAlign w:val="center"/>
          </w:tcPr>
          <w:p w14:paraId="2E36E9C7">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考核内容</w:t>
            </w:r>
          </w:p>
        </w:tc>
        <w:tc>
          <w:tcPr>
            <w:tcW w:w="1809" w:type="pct"/>
            <w:noWrap w:val="0"/>
            <w:vAlign w:val="center"/>
          </w:tcPr>
          <w:p w14:paraId="7EB6313C">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评分标准</w:t>
            </w:r>
          </w:p>
        </w:tc>
        <w:tc>
          <w:tcPr>
            <w:tcW w:w="467" w:type="pct"/>
            <w:noWrap w:val="0"/>
            <w:vAlign w:val="center"/>
          </w:tcPr>
          <w:p w14:paraId="12FF2189">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得分</w:t>
            </w:r>
          </w:p>
        </w:tc>
      </w:tr>
      <w:tr w14:paraId="7556F7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506" w:type="pct"/>
            <w:vMerge w:val="restart"/>
            <w:noWrap w:val="0"/>
            <w:vAlign w:val="center"/>
          </w:tcPr>
          <w:p w14:paraId="4E0EA53F">
            <w:pPr>
              <w:widowControl/>
              <w:spacing w:line="240" w:lineRule="exact"/>
              <w:textAlignment w:val="center"/>
              <w:rPr>
                <w:rFonts w:hint="eastAsia" w:ascii="宋体" w:hAnsi="宋体" w:cs="宋体"/>
                <w:color w:val="000000"/>
                <w:szCs w:val="21"/>
              </w:rPr>
            </w:pPr>
            <w:r>
              <w:rPr>
                <w:rFonts w:hint="eastAsia" w:ascii="宋体" w:hAnsi="宋体" w:cs="宋体"/>
                <w:color w:val="000000"/>
                <w:kern w:val="0"/>
                <w:szCs w:val="21"/>
                <w:lang w:bidi="ar"/>
              </w:rPr>
              <w:t>一、综合管理（20分）</w:t>
            </w:r>
          </w:p>
        </w:tc>
        <w:tc>
          <w:tcPr>
            <w:tcW w:w="210" w:type="pct"/>
            <w:noWrap w:val="0"/>
            <w:vAlign w:val="center"/>
          </w:tcPr>
          <w:p w14:paraId="4FD4ECA5">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2006" w:type="pct"/>
            <w:noWrap w:val="0"/>
            <w:vAlign w:val="center"/>
          </w:tcPr>
          <w:p w14:paraId="76B8B384">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配备专职或兼职工伤医疗管理人员。（2分）</w:t>
            </w:r>
          </w:p>
        </w:tc>
        <w:tc>
          <w:tcPr>
            <w:tcW w:w="1809" w:type="pct"/>
            <w:noWrap w:val="0"/>
            <w:vAlign w:val="center"/>
          </w:tcPr>
          <w:p w14:paraId="2BEEB3B2">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有专职的，得2分；有兼职的，得1分</w:t>
            </w:r>
          </w:p>
        </w:tc>
        <w:tc>
          <w:tcPr>
            <w:tcW w:w="467" w:type="pct"/>
            <w:noWrap w:val="0"/>
            <w:vAlign w:val="center"/>
          </w:tcPr>
          <w:p w14:paraId="20377EEB">
            <w:pPr>
              <w:widowControl/>
              <w:spacing w:line="240" w:lineRule="exact"/>
              <w:jc w:val="center"/>
              <w:rPr>
                <w:rFonts w:hint="eastAsia" w:ascii="宋体" w:hAnsi="宋体" w:cs="宋体"/>
                <w:color w:val="000000"/>
                <w:szCs w:val="21"/>
              </w:rPr>
            </w:pPr>
          </w:p>
        </w:tc>
      </w:tr>
      <w:tr w14:paraId="48B0A7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36" w:hRule="atLeast"/>
          <w:jc w:val="center"/>
        </w:trPr>
        <w:tc>
          <w:tcPr>
            <w:tcW w:w="506" w:type="pct"/>
            <w:vMerge w:val="continue"/>
            <w:noWrap w:val="0"/>
            <w:vAlign w:val="center"/>
          </w:tcPr>
          <w:p w14:paraId="21DECD7C">
            <w:pPr>
              <w:widowControl/>
              <w:spacing w:line="240" w:lineRule="exact"/>
              <w:rPr>
                <w:rFonts w:hint="eastAsia" w:ascii="宋体" w:hAnsi="宋体" w:cs="宋体"/>
                <w:color w:val="000000"/>
                <w:szCs w:val="21"/>
              </w:rPr>
            </w:pPr>
          </w:p>
        </w:tc>
        <w:tc>
          <w:tcPr>
            <w:tcW w:w="210" w:type="pct"/>
            <w:noWrap w:val="0"/>
            <w:vAlign w:val="center"/>
          </w:tcPr>
          <w:p w14:paraId="65E9960A">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2006" w:type="pct"/>
            <w:noWrap w:val="0"/>
            <w:vAlign w:val="center"/>
          </w:tcPr>
          <w:p w14:paraId="76AB2740">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为工伤职工提供服务的辅助器具配置及康复训练专业技术人员应具备相应专业资格证书、注册证书及上岗证等证件。（3分）</w:t>
            </w:r>
          </w:p>
        </w:tc>
        <w:tc>
          <w:tcPr>
            <w:tcW w:w="1809" w:type="pct"/>
            <w:noWrap w:val="0"/>
            <w:vAlign w:val="center"/>
          </w:tcPr>
          <w:p w14:paraId="21685B54">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随机抽查，证书齐全的得3分；抽查缺失一项的，扣1分</w:t>
            </w:r>
          </w:p>
        </w:tc>
        <w:tc>
          <w:tcPr>
            <w:tcW w:w="467" w:type="pct"/>
            <w:noWrap w:val="0"/>
            <w:vAlign w:val="center"/>
          </w:tcPr>
          <w:p w14:paraId="6C7298AB">
            <w:pPr>
              <w:widowControl/>
              <w:spacing w:line="240" w:lineRule="exact"/>
              <w:jc w:val="center"/>
              <w:rPr>
                <w:rFonts w:hint="eastAsia" w:ascii="宋体" w:hAnsi="宋体" w:cs="宋体"/>
                <w:color w:val="000000"/>
                <w:szCs w:val="21"/>
              </w:rPr>
            </w:pPr>
          </w:p>
        </w:tc>
      </w:tr>
      <w:tr w14:paraId="0635BE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506" w:type="pct"/>
            <w:vMerge w:val="continue"/>
            <w:noWrap w:val="0"/>
            <w:vAlign w:val="center"/>
          </w:tcPr>
          <w:p w14:paraId="4E277179">
            <w:pPr>
              <w:widowControl/>
              <w:spacing w:line="240" w:lineRule="exact"/>
              <w:rPr>
                <w:rFonts w:hint="eastAsia" w:ascii="宋体" w:hAnsi="宋体" w:cs="宋体"/>
                <w:color w:val="000000"/>
                <w:szCs w:val="21"/>
              </w:rPr>
            </w:pPr>
          </w:p>
        </w:tc>
        <w:tc>
          <w:tcPr>
            <w:tcW w:w="210" w:type="pct"/>
            <w:noWrap w:val="0"/>
            <w:vAlign w:val="center"/>
          </w:tcPr>
          <w:p w14:paraId="2DB11BE2">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2006" w:type="pct"/>
            <w:noWrap w:val="0"/>
            <w:vAlign w:val="center"/>
          </w:tcPr>
          <w:p w14:paraId="1967C0F5">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悬挂辅助器具配置流程图或指南。（2分）</w:t>
            </w:r>
          </w:p>
        </w:tc>
        <w:tc>
          <w:tcPr>
            <w:tcW w:w="1809" w:type="pct"/>
            <w:noWrap w:val="0"/>
            <w:vAlign w:val="center"/>
          </w:tcPr>
          <w:p w14:paraId="5A25076C">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悬挂位置明显的，得2分；悬挂位置不明显的，得1分；未悬挂不得分</w:t>
            </w:r>
          </w:p>
        </w:tc>
        <w:tc>
          <w:tcPr>
            <w:tcW w:w="467" w:type="pct"/>
            <w:noWrap w:val="0"/>
            <w:vAlign w:val="center"/>
          </w:tcPr>
          <w:p w14:paraId="3BD62ABE">
            <w:pPr>
              <w:widowControl/>
              <w:spacing w:line="240" w:lineRule="exact"/>
              <w:jc w:val="center"/>
              <w:rPr>
                <w:rFonts w:hint="eastAsia" w:ascii="宋体" w:hAnsi="宋体" w:cs="宋体"/>
                <w:color w:val="000000"/>
                <w:szCs w:val="21"/>
              </w:rPr>
            </w:pPr>
          </w:p>
        </w:tc>
      </w:tr>
      <w:tr w14:paraId="4B9B4B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506" w:type="pct"/>
            <w:vMerge w:val="continue"/>
            <w:noWrap w:val="0"/>
            <w:vAlign w:val="center"/>
          </w:tcPr>
          <w:p w14:paraId="48B7D9AE">
            <w:pPr>
              <w:widowControl/>
              <w:spacing w:line="240" w:lineRule="exact"/>
              <w:rPr>
                <w:rFonts w:hint="eastAsia" w:ascii="宋体" w:hAnsi="宋体" w:cs="宋体"/>
                <w:color w:val="000000"/>
                <w:szCs w:val="21"/>
              </w:rPr>
            </w:pPr>
          </w:p>
        </w:tc>
        <w:tc>
          <w:tcPr>
            <w:tcW w:w="210" w:type="pct"/>
            <w:noWrap w:val="0"/>
            <w:vAlign w:val="center"/>
          </w:tcPr>
          <w:p w14:paraId="3FF2EB11">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2006" w:type="pct"/>
            <w:noWrap w:val="0"/>
            <w:vAlign w:val="center"/>
          </w:tcPr>
          <w:p w14:paraId="368315DB">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公布辅助器具配置项目及最高限价等相关信息。（2分）</w:t>
            </w:r>
          </w:p>
        </w:tc>
        <w:tc>
          <w:tcPr>
            <w:tcW w:w="1809" w:type="pct"/>
            <w:noWrap w:val="0"/>
            <w:vAlign w:val="center"/>
          </w:tcPr>
          <w:p w14:paraId="49E679E0">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公布得1分；未公布不得分</w:t>
            </w:r>
          </w:p>
        </w:tc>
        <w:tc>
          <w:tcPr>
            <w:tcW w:w="467" w:type="pct"/>
            <w:noWrap w:val="0"/>
            <w:vAlign w:val="center"/>
          </w:tcPr>
          <w:p w14:paraId="718EE91A">
            <w:pPr>
              <w:widowControl/>
              <w:spacing w:line="240" w:lineRule="exact"/>
              <w:jc w:val="center"/>
              <w:rPr>
                <w:rFonts w:hint="eastAsia" w:ascii="宋体" w:hAnsi="宋体" w:cs="宋体"/>
                <w:color w:val="000000"/>
                <w:szCs w:val="21"/>
              </w:rPr>
            </w:pPr>
          </w:p>
        </w:tc>
      </w:tr>
      <w:tr w14:paraId="23F695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506" w:type="pct"/>
            <w:vMerge w:val="continue"/>
            <w:noWrap w:val="0"/>
            <w:vAlign w:val="center"/>
          </w:tcPr>
          <w:p w14:paraId="654F12C4">
            <w:pPr>
              <w:widowControl/>
              <w:spacing w:line="240" w:lineRule="exact"/>
              <w:rPr>
                <w:rFonts w:hint="eastAsia" w:ascii="宋体" w:hAnsi="宋体" w:cs="宋体"/>
                <w:color w:val="000000"/>
                <w:szCs w:val="21"/>
              </w:rPr>
            </w:pPr>
          </w:p>
        </w:tc>
        <w:tc>
          <w:tcPr>
            <w:tcW w:w="210" w:type="pct"/>
            <w:noWrap w:val="0"/>
            <w:vAlign w:val="center"/>
          </w:tcPr>
          <w:p w14:paraId="7A1D5155">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2006" w:type="pct"/>
            <w:noWrap w:val="0"/>
            <w:vAlign w:val="center"/>
          </w:tcPr>
          <w:p w14:paraId="529D1433">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制定产品、材料出入库管理制度。（2分）</w:t>
            </w:r>
          </w:p>
        </w:tc>
        <w:tc>
          <w:tcPr>
            <w:tcW w:w="1809" w:type="pct"/>
            <w:noWrap w:val="0"/>
            <w:vAlign w:val="center"/>
          </w:tcPr>
          <w:p w14:paraId="78EB5F9D">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查看制度建设情况。制度缺失的，不得分</w:t>
            </w:r>
          </w:p>
        </w:tc>
        <w:tc>
          <w:tcPr>
            <w:tcW w:w="467" w:type="pct"/>
            <w:noWrap w:val="0"/>
            <w:vAlign w:val="center"/>
          </w:tcPr>
          <w:p w14:paraId="2F0C7047">
            <w:pPr>
              <w:widowControl/>
              <w:spacing w:line="240" w:lineRule="exact"/>
              <w:jc w:val="center"/>
              <w:rPr>
                <w:rFonts w:hint="eastAsia" w:ascii="宋体" w:hAnsi="宋体" w:cs="宋体"/>
                <w:color w:val="000000"/>
                <w:szCs w:val="21"/>
              </w:rPr>
            </w:pPr>
          </w:p>
        </w:tc>
      </w:tr>
      <w:tr w14:paraId="5BECA0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506" w:type="pct"/>
            <w:vMerge w:val="continue"/>
            <w:noWrap w:val="0"/>
            <w:vAlign w:val="center"/>
          </w:tcPr>
          <w:p w14:paraId="0C0120A8">
            <w:pPr>
              <w:widowControl/>
              <w:spacing w:line="240" w:lineRule="exact"/>
              <w:rPr>
                <w:rFonts w:hint="eastAsia" w:ascii="宋体" w:hAnsi="宋体" w:cs="宋体"/>
                <w:color w:val="000000"/>
                <w:szCs w:val="21"/>
              </w:rPr>
            </w:pPr>
          </w:p>
        </w:tc>
        <w:tc>
          <w:tcPr>
            <w:tcW w:w="210" w:type="pct"/>
            <w:noWrap w:val="0"/>
            <w:vAlign w:val="center"/>
          </w:tcPr>
          <w:p w14:paraId="1AFF0B7A">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2006" w:type="pct"/>
            <w:noWrap w:val="0"/>
            <w:vAlign w:val="center"/>
          </w:tcPr>
          <w:p w14:paraId="2A0604CA">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制定有工伤职工配置辅助器具时有关交通、食宿费发放的财务制度。（2分）</w:t>
            </w:r>
          </w:p>
        </w:tc>
        <w:tc>
          <w:tcPr>
            <w:tcW w:w="1809" w:type="pct"/>
            <w:noWrap w:val="0"/>
            <w:vAlign w:val="center"/>
          </w:tcPr>
          <w:p w14:paraId="3A24BCC1">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查看制度建设情况。制度缺失的，不得分</w:t>
            </w:r>
          </w:p>
        </w:tc>
        <w:tc>
          <w:tcPr>
            <w:tcW w:w="467" w:type="pct"/>
            <w:noWrap w:val="0"/>
            <w:vAlign w:val="center"/>
          </w:tcPr>
          <w:p w14:paraId="6DDC200F">
            <w:pPr>
              <w:widowControl/>
              <w:spacing w:line="240" w:lineRule="exact"/>
              <w:jc w:val="center"/>
              <w:rPr>
                <w:rFonts w:hint="eastAsia" w:ascii="宋体" w:hAnsi="宋体" w:cs="宋体"/>
                <w:color w:val="000000"/>
                <w:szCs w:val="21"/>
              </w:rPr>
            </w:pPr>
          </w:p>
        </w:tc>
      </w:tr>
      <w:tr w14:paraId="48F8EA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506" w:type="pct"/>
            <w:vMerge w:val="continue"/>
            <w:noWrap w:val="0"/>
            <w:vAlign w:val="center"/>
          </w:tcPr>
          <w:p w14:paraId="168BDD3D">
            <w:pPr>
              <w:widowControl/>
              <w:spacing w:line="240" w:lineRule="exact"/>
              <w:rPr>
                <w:rFonts w:hint="eastAsia" w:ascii="宋体" w:hAnsi="宋体" w:cs="宋体"/>
                <w:color w:val="000000"/>
                <w:szCs w:val="21"/>
              </w:rPr>
            </w:pPr>
          </w:p>
        </w:tc>
        <w:tc>
          <w:tcPr>
            <w:tcW w:w="210" w:type="pct"/>
            <w:noWrap w:val="0"/>
            <w:vAlign w:val="center"/>
          </w:tcPr>
          <w:p w14:paraId="1F1C196C">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7</w:t>
            </w:r>
          </w:p>
        </w:tc>
        <w:tc>
          <w:tcPr>
            <w:tcW w:w="2006" w:type="pct"/>
            <w:noWrap w:val="0"/>
            <w:vAlign w:val="center"/>
          </w:tcPr>
          <w:p w14:paraId="3BA7DDCD">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公布辅助器具配置业务流程、个人须知、投诉电话。（2分）</w:t>
            </w:r>
          </w:p>
        </w:tc>
        <w:tc>
          <w:tcPr>
            <w:tcW w:w="1809" w:type="pct"/>
            <w:noWrap w:val="0"/>
            <w:vAlign w:val="center"/>
          </w:tcPr>
          <w:p w14:paraId="44D56A18">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查看相关材料及记录，发现一项问题，扣1分</w:t>
            </w:r>
          </w:p>
        </w:tc>
        <w:tc>
          <w:tcPr>
            <w:tcW w:w="467" w:type="pct"/>
            <w:noWrap w:val="0"/>
            <w:vAlign w:val="center"/>
          </w:tcPr>
          <w:p w14:paraId="016D9A5E">
            <w:pPr>
              <w:widowControl/>
              <w:spacing w:line="240" w:lineRule="exact"/>
              <w:jc w:val="center"/>
              <w:rPr>
                <w:rFonts w:hint="eastAsia" w:ascii="宋体" w:hAnsi="宋体" w:cs="宋体"/>
                <w:color w:val="000000"/>
                <w:szCs w:val="21"/>
              </w:rPr>
            </w:pPr>
          </w:p>
        </w:tc>
      </w:tr>
      <w:tr w14:paraId="099A39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23" w:hRule="atLeast"/>
          <w:jc w:val="center"/>
        </w:trPr>
        <w:tc>
          <w:tcPr>
            <w:tcW w:w="506" w:type="pct"/>
            <w:vMerge w:val="continue"/>
            <w:noWrap w:val="0"/>
            <w:vAlign w:val="center"/>
          </w:tcPr>
          <w:p w14:paraId="54AF9847">
            <w:pPr>
              <w:widowControl/>
              <w:spacing w:line="240" w:lineRule="exact"/>
              <w:rPr>
                <w:rFonts w:hint="eastAsia" w:ascii="宋体" w:hAnsi="宋体" w:cs="宋体"/>
                <w:color w:val="000000"/>
                <w:szCs w:val="21"/>
              </w:rPr>
            </w:pPr>
          </w:p>
        </w:tc>
        <w:tc>
          <w:tcPr>
            <w:tcW w:w="210" w:type="pct"/>
            <w:noWrap w:val="0"/>
            <w:vAlign w:val="center"/>
          </w:tcPr>
          <w:p w14:paraId="05251CBD">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2006" w:type="pct"/>
            <w:noWrap w:val="0"/>
            <w:vAlign w:val="center"/>
          </w:tcPr>
          <w:p w14:paraId="1A1CF769">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积极参加工伤经办机构组织开展的培训，定期开展工伤保险相关政策培训，组织形式多样的工伤保险法律法规政策宣传。（2分）</w:t>
            </w:r>
          </w:p>
        </w:tc>
        <w:tc>
          <w:tcPr>
            <w:tcW w:w="1809" w:type="pct"/>
            <w:noWrap w:val="0"/>
            <w:vAlign w:val="center"/>
          </w:tcPr>
          <w:p w14:paraId="6B592AD4">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查看培训记录及宣传材料。未开展培训的，扣1分；现场抽查了解政策情况，每发现一项问题，扣1分</w:t>
            </w:r>
          </w:p>
        </w:tc>
        <w:tc>
          <w:tcPr>
            <w:tcW w:w="467" w:type="pct"/>
            <w:noWrap w:val="0"/>
            <w:vAlign w:val="center"/>
          </w:tcPr>
          <w:p w14:paraId="4A2249A0">
            <w:pPr>
              <w:widowControl/>
              <w:spacing w:line="240" w:lineRule="exact"/>
              <w:jc w:val="center"/>
              <w:rPr>
                <w:rFonts w:hint="eastAsia" w:ascii="宋体" w:hAnsi="宋体" w:cs="宋体"/>
                <w:color w:val="000000"/>
                <w:szCs w:val="21"/>
              </w:rPr>
            </w:pPr>
          </w:p>
        </w:tc>
      </w:tr>
      <w:tr w14:paraId="0C5DA2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506" w:type="pct"/>
            <w:vMerge w:val="continue"/>
            <w:noWrap w:val="0"/>
            <w:vAlign w:val="center"/>
          </w:tcPr>
          <w:p w14:paraId="497131BD">
            <w:pPr>
              <w:widowControl/>
              <w:spacing w:line="240" w:lineRule="exact"/>
              <w:rPr>
                <w:rFonts w:hint="eastAsia" w:ascii="宋体" w:hAnsi="宋体" w:cs="宋体"/>
                <w:color w:val="000000"/>
                <w:szCs w:val="21"/>
              </w:rPr>
            </w:pPr>
          </w:p>
        </w:tc>
        <w:tc>
          <w:tcPr>
            <w:tcW w:w="210" w:type="pct"/>
            <w:noWrap w:val="0"/>
            <w:vAlign w:val="center"/>
          </w:tcPr>
          <w:p w14:paraId="67AA8AFE">
            <w:pPr>
              <w:widowControl/>
              <w:spacing w:line="24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9</w:t>
            </w:r>
          </w:p>
        </w:tc>
        <w:tc>
          <w:tcPr>
            <w:tcW w:w="2006" w:type="pct"/>
            <w:noWrap w:val="0"/>
            <w:vAlign w:val="center"/>
          </w:tcPr>
          <w:p w14:paraId="4C58D7DA">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产品及材料仓库具有防尘、防虫、防潮、防鼠、无霉变、无污染等措施。(3分）</w:t>
            </w:r>
          </w:p>
        </w:tc>
        <w:tc>
          <w:tcPr>
            <w:tcW w:w="1809" w:type="pct"/>
            <w:noWrap w:val="0"/>
            <w:vAlign w:val="center"/>
          </w:tcPr>
          <w:p w14:paraId="50B3F29B">
            <w:pPr>
              <w:widowControl/>
              <w:spacing w:line="24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查看辅助器具及存料仓库。干净整洁的，得3分；每发现一项问题，扣1分</w:t>
            </w:r>
          </w:p>
        </w:tc>
        <w:tc>
          <w:tcPr>
            <w:tcW w:w="467" w:type="pct"/>
            <w:noWrap w:val="0"/>
            <w:vAlign w:val="center"/>
          </w:tcPr>
          <w:p w14:paraId="329184D3">
            <w:pPr>
              <w:widowControl/>
              <w:spacing w:line="240" w:lineRule="exact"/>
              <w:jc w:val="center"/>
              <w:rPr>
                <w:rFonts w:hint="eastAsia" w:ascii="宋体" w:hAnsi="宋体" w:cs="宋体"/>
                <w:color w:val="000000"/>
                <w:szCs w:val="21"/>
              </w:rPr>
            </w:pPr>
          </w:p>
        </w:tc>
      </w:tr>
      <w:tr w14:paraId="7A2DF4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49" w:hRule="atLeast"/>
          <w:jc w:val="center"/>
        </w:trPr>
        <w:tc>
          <w:tcPr>
            <w:tcW w:w="506" w:type="pct"/>
            <w:vMerge w:val="restart"/>
            <w:noWrap w:val="0"/>
            <w:vAlign w:val="center"/>
          </w:tcPr>
          <w:p w14:paraId="06EB7ED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二、配置（更换）管理（30分）</w:t>
            </w:r>
          </w:p>
        </w:tc>
        <w:tc>
          <w:tcPr>
            <w:tcW w:w="210" w:type="pct"/>
            <w:noWrap w:val="0"/>
            <w:vAlign w:val="center"/>
          </w:tcPr>
          <w:p w14:paraId="5B81CDF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w:t>
            </w:r>
          </w:p>
        </w:tc>
        <w:tc>
          <w:tcPr>
            <w:tcW w:w="2006" w:type="pct"/>
            <w:noWrap w:val="0"/>
            <w:vAlign w:val="center"/>
          </w:tcPr>
          <w:p w14:paraId="5E748BF9">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认真核验工伤职工社会保障卡，做到人证相符。（2分）</w:t>
            </w:r>
          </w:p>
        </w:tc>
        <w:tc>
          <w:tcPr>
            <w:tcW w:w="1809" w:type="pct"/>
            <w:noWrap w:val="0"/>
            <w:vAlign w:val="center"/>
          </w:tcPr>
          <w:p w14:paraId="0988B3A8">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查验配置器具的工伤职工身份核对记录，发现一处手续不全的，扣1分</w:t>
            </w:r>
          </w:p>
        </w:tc>
        <w:tc>
          <w:tcPr>
            <w:tcW w:w="467" w:type="pct"/>
            <w:noWrap w:val="0"/>
            <w:vAlign w:val="center"/>
          </w:tcPr>
          <w:p w14:paraId="7B41CF2D">
            <w:pPr>
              <w:jc w:val="center"/>
              <w:rPr>
                <w:rFonts w:hint="eastAsia" w:ascii="宋体" w:hAnsi="宋体" w:cs="宋体"/>
                <w:b/>
                <w:bCs/>
                <w:color w:val="000000"/>
                <w:szCs w:val="21"/>
              </w:rPr>
            </w:pPr>
          </w:p>
        </w:tc>
      </w:tr>
      <w:tr w14:paraId="0FB178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10" w:hRule="atLeast"/>
          <w:jc w:val="center"/>
        </w:trPr>
        <w:tc>
          <w:tcPr>
            <w:tcW w:w="506" w:type="pct"/>
            <w:vMerge w:val="continue"/>
            <w:noWrap w:val="0"/>
            <w:vAlign w:val="center"/>
          </w:tcPr>
          <w:p w14:paraId="25EE37C7">
            <w:pPr>
              <w:rPr>
                <w:rFonts w:hint="eastAsia" w:ascii="宋体" w:hAnsi="宋体" w:cs="宋体"/>
                <w:color w:val="000000"/>
                <w:szCs w:val="21"/>
              </w:rPr>
            </w:pPr>
          </w:p>
        </w:tc>
        <w:tc>
          <w:tcPr>
            <w:tcW w:w="210" w:type="pct"/>
            <w:noWrap w:val="0"/>
            <w:vAlign w:val="center"/>
          </w:tcPr>
          <w:p w14:paraId="620559E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w:t>
            </w:r>
          </w:p>
        </w:tc>
        <w:tc>
          <w:tcPr>
            <w:tcW w:w="2006" w:type="pct"/>
            <w:noWrap w:val="0"/>
            <w:vAlign w:val="center"/>
          </w:tcPr>
          <w:p w14:paraId="08D8EE6A">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严格按照审批项目配置或更换；不得增加、串换项目。（3分）</w:t>
            </w:r>
          </w:p>
        </w:tc>
        <w:tc>
          <w:tcPr>
            <w:tcW w:w="1809" w:type="pct"/>
            <w:noWrap w:val="0"/>
            <w:vAlign w:val="center"/>
          </w:tcPr>
          <w:p w14:paraId="3A3263BC">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查验审批手续和配置档案，每发现一处问题，扣1分</w:t>
            </w:r>
          </w:p>
        </w:tc>
        <w:tc>
          <w:tcPr>
            <w:tcW w:w="467" w:type="pct"/>
            <w:noWrap w:val="0"/>
            <w:vAlign w:val="center"/>
          </w:tcPr>
          <w:p w14:paraId="6C2A9B78">
            <w:pPr>
              <w:jc w:val="center"/>
              <w:rPr>
                <w:rFonts w:hint="eastAsia" w:ascii="宋体" w:hAnsi="宋体" w:cs="宋体"/>
                <w:color w:val="000000"/>
                <w:szCs w:val="21"/>
              </w:rPr>
            </w:pPr>
          </w:p>
        </w:tc>
      </w:tr>
      <w:tr w14:paraId="3A5206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55" w:hRule="atLeast"/>
          <w:jc w:val="center"/>
        </w:trPr>
        <w:tc>
          <w:tcPr>
            <w:tcW w:w="506" w:type="pct"/>
            <w:vMerge w:val="continue"/>
            <w:noWrap w:val="0"/>
            <w:vAlign w:val="center"/>
          </w:tcPr>
          <w:p w14:paraId="2FDAD4AA">
            <w:pPr>
              <w:rPr>
                <w:rFonts w:hint="eastAsia" w:ascii="宋体" w:hAnsi="宋体" w:cs="宋体"/>
                <w:color w:val="000000"/>
                <w:szCs w:val="21"/>
              </w:rPr>
            </w:pPr>
          </w:p>
        </w:tc>
        <w:tc>
          <w:tcPr>
            <w:tcW w:w="210" w:type="pct"/>
            <w:noWrap w:val="0"/>
            <w:vAlign w:val="center"/>
          </w:tcPr>
          <w:p w14:paraId="46DEF52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c>
          <w:tcPr>
            <w:tcW w:w="2006" w:type="pct"/>
            <w:noWrap w:val="0"/>
            <w:vAlign w:val="center"/>
          </w:tcPr>
          <w:p w14:paraId="503AA5D6">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营业场所服务环境良好、有一定面积的训练场地，布局合理。（3分）</w:t>
            </w:r>
          </w:p>
        </w:tc>
        <w:tc>
          <w:tcPr>
            <w:tcW w:w="1809" w:type="pct"/>
            <w:noWrap w:val="0"/>
            <w:vAlign w:val="center"/>
          </w:tcPr>
          <w:p w14:paraId="00791A60">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查看现场。能满足工伤职工训练要求的，得3分；基本满足的，得2分；不能满足的，不得分</w:t>
            </w:r>
          </w:p>
        </w:tc>
        <w:tc>
          <w:tcPr>
            <w:tcW w:w="467" w:type="pct"/>
            <w:noWrap w:val="0"/>
            <w:vAlign w:val="center"/>
          </w:tcPr>
          <w:p w14:paraId="26C5E973">
            <w:pPr>
              <w:jc w:val="center"/>
              <w:rPr>
                <w:rFonts w:hint="eastAsia" w:ascii="宋体" w:hAnsi="宋体" w:cs="宋体"/>
                <w:color w:val="000000"/>
                <w:szCs w:val="21"/>
              </w:rPr>
            </w:pPr>
          </w:p>
        </w:tc>
      </w:tr>
      <w:tr w14:paraId="7F0CB5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506" w:type="pct"/>
            <w:vMerge w:val="continue"/>
            <w:noWrap w:val="0"/>
            <w:vAlign w:val="center"/>
          </w:tcPr>
          <w:p w14:paraId="50D38C5A">
            <w:pPr>
              <w:rPr>
                <w:rFonts w:hint="eastAsia" w:ascii="宋体" w:hAnsi="宋体" w:cs="宋体"/>
                <w:color w:val="000000"/>
                <w:szCs w:val="21"/>
              </w:rPr>
            </w:pPr>
          </w:p>
        </w:tc>
        <w:tc>
          <w:tcPr>
            <w:tcW w:w="210" w:type="pct"/>
            <w:noWrap w:val="0"/>
            <w:vAlign w:val="center"/>
          </w:tcPr>
          <w:p w14:paraId="73D714F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2006" w:type="pct"/>
            <w:noWrap w:val="0"/>
            <w:vAlign w:val="center"/>
          </w:tcPr>
          <w:p w14:paraId="38EC22FB">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按要求对产品、原材料进、销、存、修运用计算机信息系统管理，电子台账账册清楚、账物相符。（2分）</w:t>
            </w:r>
          </w:p>
        </w:tc>
        <w:tc>
          <w:tcPr>
            <w:tcW w:w="1809" w:type="pct"/>
            <w:noWrap w:val="0"/>
            <w:vAlign w:val="center"/>
          </w:tcPr>
          <w:p w14:paraId="23F50168">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随机抽查，每查处一项问题，扣1分</w:t>
            </w:r>
          </w:p>
        </w:tc>
        <w:tc>
          <w:tcPr>
            <w:tcW w:w="467" w:type="pct"/>
            <w:noWrap w:val="0"/>
            <w:vAlign w:val="center"/>
          </w:tcPr>
          <w:p w14:paraId="271F5CDC">
            <w:pPr>
              <w:jc w:val="center"/>
              <w:rPr>
                <w:rFonts w:hint="eastAsia" w:ascii="宋体" w:hAnsi="宋体" w:cs="宋体"/>
                <w:color w:val="000000"/>
                <w:szCs w:val="21"/>
              </w:rPr>
            </w:pPr>
          </w:p>
        </w:tc>
      </w:tr>
      <w:tr w14:paraId="40D65D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15" w:hRule="atLeast"/>
          <w:jc w:val="center"/>
        </w:trPr>
        <w:tc>
          <w:tcPr>
            <w:tcW w:w="506" w:type="pct"/>
            <w:vMerge w:val="continue"/>
            <w:noWrap w:val="0"/>
            <w:vAlign w:val="center"/>
          </w:tcPr>
          <w:p w14:paraId="3892DD43">
            <w:pPr>
              <w:rPr>
                <w:rFonts w:hint="eastAsia" w:ascii="宋体" w:hAnsi="宋体" w:cs="宋体"/>
                <w:color w:val="000000"/>
                <w:szCs w:val="21"/>
              </w:rPr>
            </w:pPr>
          </w:p>
        </w:tc>
        <w:tc>
          <w:tcPr>
            <w:tcW w:w="210" w:type="pct"/>
            <w:noWrap w:val="0"/>
            <w:vAlign w:val="center"/>
          </w:tcPr>
          <w:p w14:paraId="2023192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14</w:t>
            </w:r>
          </w:p>
        </w:tc>
        <w:tc>
          <w:tcPr>
            <w:tcW w:w="2006" w:type="pct"/>
            <w:noWrap w:val="0"/>
            <w:vAlign w:val="center"/>
          </w:tcPr>
          <w:p w14:paraId="513E3A82">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应将制作的假肢、支具、矫形器等产品的名称、关键性技术参数以及与使用质量安全密切相关的必要信息记入档案。（5分）</w:t>
            </w:r>
          </w:p>
        </w:tc>
        <w:tc>
          <w:tcPr>
            <w:tcW w:w="1809" w:type="pct"/>
            <w:noWrap w:val="0"/>
            <w:vAlign w:val="center"/>
          </w:tcPr>
          <w:p w14:paraId="7E40E82B">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现场抽查档案资料。资料齐全、记录规范的，得5分；资料不齐、记载信息缺失的，每查处一项，扣1分</w:t>
            </w:r>
          </w:p>
        </w:tc>
        <w:tc>
          <w:tcPr>
            <w:tcW w:w="467" w:type="pct"/>
            <w:noWrap w:val="0"/>
            <w:vAlign w:val="center"/>
          </w:tcPr>
          <w:p w14:paraId="100EBBA9">
            <w:pPr>
              <w:jc w:val="center"/>
              <w:rPr>
                <w:rFonts w:hint="eastAsia" w:ascii="宋体" w:hAnsi="宋体" w:cs="宋体"/>
                <w:color w:val="000000"/>
                <w:szCs w:val="21"/>
              </w:rPr>
            </w:pPr>
          </w:p>
        </w:tc>
      </w:tr>
      <w:tr w14:paraId="2B047D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65" w:hRule="atLeast"/>
          <w:jc w:val="center"/>
        </w:trPr>
        <w:tc>
          <w:tcPr>
            <w:tcW w:w="506" w:type="pct"/>
            <w:vMerge w:val="continue"/>
            <w:noWrap w:val="0"/>
            <w:vAlign w:val="center"/>
          </w:tcPr>
          <w:p w14:paraId="6C93BE10">
            <w:pPr>
              <w:rPr>
                <w:rFonts w:hint="eastAsia" w:ascii="宋体" w:hAnsi="宋体" w:cs="宋体"/>
                <w:color w:val="000000"/>
                <w:szCs w:val="21"/>
              </w:rPr>
            </w:pPr>
          </w:p>
        </w:tc>
        <w:tc>
          <w:tcPr>
            <w:tcW w:w="210" w:type="pct"/>
            <w:noWrap w:val="0"/>
            <w:vAlign w:val="center"/>
          </w:tcPr>
          <w:p w14:paraId="1139951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w:t>
            </w:r>
          </w:p>
        </w:tc>
        <w:tc>
          <w:tcPr>
            <w:tcW w:w="2006" w:type="pct"/>
            <w:noWrap w:val="0"/>
            <w:vAlign w:val="center"/>
          </w:tcPr>
          <w:p w14:paraId="06137A27">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制作的产品性能和质量应当符合国家或行业相关标准、要求，性能稳定、安全有效、质量可靠。  （5分）</w:t>
            </w:r>
          </w:p>
        </w:tc>
        <w:tc>
          <w:tcPr>
            <w:tcW w:w="1809" w:type="pct"/>
            <w:noWrap w:val="0"/>
            <w:vAlign w:val="center"/>
          </w:tcPr>
          <w:p w14:paraId="24B104D2">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现场抽查相关产品的合格证书，每发现一处问题，扣1分</w:t>
            </w:r>
          </w:p>
        </w:tc>
        <w:tc>
          <w:tcPr>
            <w:tcW w:w="467" w:type="pct"/>
            <w:noWrap w:val="0"/>
            <w:vAlign w:val="center"/>
          </w:tcPr>
          <w:p w14:paraId="4609BD2B">
            <w:pPr>
              <w:jc w:val="center"/>
              <w:rPr>
                <w:rFonts w:hint="eastAsia" w:ascii="宋体" w:hAnsi="宋体" w:cs="宋体"/>
                <w:color w:val="000000"/>
                <w:szCs w:val="21"/>
              </w:rPr>
            </w:pPr>
          </w:p>
        </w:tc>
      </w:tr>
      <w:tr w14:paraId="78F349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11" w:hRule="atLeast"/>
          <w:jc w:val="center"/>
        </w:trPr>
        <w:tc>
          <w:tcPr>
            <w:tcW w:w="506" w:type="pct"/>
            <w:vMerge w:val="continue"/>
            <w:noWrap w:val="0"/>
            <w:vAlign w:val="center"/>
          </w:tcPr>
          <w:p w14:paraId="1B4774DA">
            <w:pPr>
              <w:rPr>
                <w:rFonts w:hint="eastAsia" w:ascii="宋体" w:hAnsi="宋体" w:cs="宋体"/>
                <w:color w:val="000000"/>
                <w:szCs w:val="21"/>
              </w:rPr>
            </w:pPr>
          </w:p>
        </w:tc>
        <w:tc>
          <w:tcPr>
            <w:tcW w:w="210" w:type="pct"/>
            <w:noWrap w:val="0"/>
            <w:vAlign w:val="center"/>
          </w:tcPr>
          <w:p w14:paraId="356F8FB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w:t>
            </w:r>
          </w:p>
        </w:tc>
        <w:tc>
          <w:tcPr>
            <w:tcW w:w="2006" w:type="pct"/>
            <w:noWrap w:val="0"/>
            <w:vAlign w:val="center"/>
          </w:tcPr>
          <w:p w14:paraId="630F9C45">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如实记录工伤人员信息、配置器具产品信息、最高支付限额、最低使用年限以及实际配置费用等配置服务事项。（5分）</w:t>
            </w:r>
          </w:p>
        </w:tc>
        <w:tc>
          <w:tcPr>
            <w:tcW w:w="1809" w:type="pct"/>
            <w:noWrap w:val="0"/>
            <w:vAlign w:val="center"/>
          </w:tcPr>
          <w:p w14:paraId="1D784ED9">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查看配置档案。信息记录齐全的，得5分；每发现一处问题，扣1分</w:t>
            </w:r>
          </w:p>
        </w:tc>
        <w:tc>
          <w:tcPr>
            <w:tcW w:w="467" w:type="pct"/>
            <w:noWrap w:val="0"/>
            <w:vAlign w:val="center"/>
          </w:tcPr>
          <w:p w14:paraId="5B8E293D">
            <w:pPr>
              <w:jc w:val="center"/>
              <w:rPr>
                <w:rFonts w:hint="eastAsia" w:ascii="宋体" w:hAnsi="宋体" w:cs="宋体"/>
                <w:color w:val="000000"/>
                <w:szCs w:val="21"/>
              </w:rPr>
            </w:pPr>
          </w:p>
        </w:tc>
      </w:tr>
      <w:tr w14:paraId="369FE3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20" w:hRule="atLeast"/>
          <w:jc w:val="center"/>
        </w:trPr>
        <w:tc>
          <w:tcPr>
            <w:tcW w:w="506" w:type="pct"/>
            <w:vMerge w:val="continue"/>
            <w:noWrap w:val="0"/>
            <w:vAlign w:val="center"/>
          </w:tcPr>
          <w:p w14:paraId="307FC28C">
            <w:pPr>
              <w:rPr>
                <w:rFonts w:hint="eastAsia" w:ascii="宋体" w:hAnsi="宋体" w:cs="宋体"/>
                <w:color w:val="000000"/>
                <w:szCs w:val="21"/>
              </w:rPr>
            </w:pPr>
          </w:p>
        </w:tc>
        <w:tc>
          <w:tcPr>
            <w:tcW w:w="210" w:type="pct"/>
            <w:noWrap w:val="0"/>
            <w:vAlign w:val="center"/>
          </w:tcPr>
          <w:p w14:paraId="18A0EA1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17</w:t>
            </w:r>
          </w:p>
        </w:tc>
        <w:tc>
          <w:tcPr>
            <w:tcW w:w="2006" w:type="pct"/>
            <w:noWrap w:val="0"/>
            <w:vAlign w:val="center"/>
          </w:tcPr>
          <w:p w14:paraId="093E7902">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严格执行“三包”管理规定，告知工伤人员维修和保养有关说明。（5分）</w:t>
            </w:r>
          </w:p>
        </w:tc>
        <w:tc>
          <w:tcPr>
            <w:tcW w:w="1809" w:type="pct"/>
            <w:noWrap w:val="0"/>
            <w:vAlign w:val="center"/>
          </w:tcPr>
          <w:p w14:paraId="315BB06D">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现场抽查“三包”执行情况。执行情况到位的，得5分；基本到位的，得3分；发现超过3项问题的，不得分</w:t>
            </w:r>
          </w:p>
        </w:tc>
        <w:tc>
          <w:tcPr>
            <w:tcW w:w="467" w:type="pct"/>
            <w:noWrap w:val="0"/>
            <w:vAlign w:val="center"/>
          </w:tcPr>
          <w:p w14:paraId="1288A220">
            <w:pPr>
              <w:jc w:val="center"/>
              <w:rPr>
                <w:rFonts w:hint="eastAsia" w:ascii="宋体" w:hAnsi="宋体" w:cs="宋体"/>
                <w:color w:val="000000"/>
                <w:szCs w:val="21"/>
              </w:rPr>
            </w:pPr>
          </w:p>
        </w:tc>
      </w:tr>
      <w:tr w14:paraId="252A17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21" w:hRule="atLeast"/>
          <w:jc w:val="center"/>
        </w:trPr>
        <w:tc>
          <w:tcPr>
            <w:tcW w:w="506" w:type="pct"/>
            <w:vMerge w:val="restart"/>
            <w:noWrap w:val="0"/>
            <w:vAlign w:val="center"/>
          </w:tcPr>
          <w:p w14:paraId="302749C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三、协议执行情况（35分）</w:t>
            </w:r>
          </w:p>
        </w:tc>
        <w:tc>
          <w:tcPr>
            <w:tcW w:w="210" w:type="pct"/>
            <w:noWrap w:val="0"/>
            <w:vAlign w:val="center"/>
          </w:tcPr>
          <w:p w14:paraId="1D8F829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w:t>
            </w:r>
          </w:p>
        </w:tc>
        <w:tc>
          <w:tcPr>
            <w:tcW w:w="2006" w:type="pct"/>
            <w:noWrap w:val="0"/>
            <w:vAlign w:val="center"/>
          </w:tcPr>
          <w:p w14:paraId="7F58DC8E">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年度联网结算额度应有一定规模。（5分）</w:t>
            </w:r>
          </w:p>
        </w:tc>
        <w:tc>
          <w:tcPr>
            <w:tcW w:w="1809" w:type="pct"/>
            <w:noWrap w:val="0"/>
            <w:vAlign w:val="center"/>
          </w:tcPr>
          <w:p w14:paraId="6B4C3377">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结算额度大于2万元的，得5分；1万元至2万元的，得3分；低于1万元的不得分</w:t>
            </w:r>
          </w:p>
        </w:tc>
        <w:tc>
          <w:tcPr>
            <w:tcW w:w="467" w:type="pct"/>
            <w:noWrap w:val="0"/>
            <w:vAlign w:val="center"/>
          </w:tcPr>
          <w:p w14:paraId="26A81CCC">
            <w:pPr>
              <w:jc w:val="center"/>
              <w:rPr>
                <w:rFonts w:hint="eastAsia" w:ascii="宋体" w:hAnsi="宋体" w:cs="宋体"/>
                <w:color w:val="000000"/>
                <w:szCs w:val="21"/>
              </w:rPr>
            </w:pPr>
          </w:p>
        </w:tc>
      </w:tr>
      <w:tr w14:paraId="198A8A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795" w:hRule="atLeast"/>
          <w:jc w:val="center"/>
        </w:trPr>
        <w:tc>
          <w:tcPr>
            <w:tcW w:w="506" w:type="pct"/>
            <w:vMerge w:val="continue"/>
            <w:noWrap w:val="0"/>
            <w:vAlign w:val="center"/>
          </w:tcPr>
          <w:p w14:paraId="0EDFFF48">
            <w:pPr>
              <w:rPr>
                <w:rFonts w:hint="eastAsia" w:ascii="宋体" w:hAnsi="宋体" w:cs="宋体"/>
                <w:color w:val="000000"/>
                <w:szCs w:val="21"/>
              </w:rPr>
            </w:pPr>
          </w:p>
        </w:tc>
        <w:tc>
          <w:tcPr>
            <w:tcW w:w="210" w:type="pct"/>
            <w:noWrap w:val="0"/>
            <w:vAlign w:val="center"/>
          </w:tcPr>
          <w:p w14:paraId="53E6DD6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w:t>
            </w:r>
          </w:p>
        </w:tc>
        <w:tc>
          <w:tcPr>
            <w:tcW w:w="2006" w:type="pct"/>
            <w:noWrap w:val="0"/>
            <w:vAlign w:val="center"/>
          </w:tcPr>
          <w:p w14:paraId="25CEFCF3">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医疗机构名称、法定代表人、主要负责人、执业地址、诊疗科目、级别、床位数、经营性质、机构类别和银行结算账户等重大信息变更。自有关部门批准之日起5个工作日内按要求向工伤保险经办部门提出变更申请，其他一般信息变更及时书面告知。（5分）</w:t>
            </w:r>
          </w:p>
        </w:tc>
        <w:tc>
          <w:tcPr>
            <w:tcW w:w="1809" w:type="pct"/>
            <w:noWrap w:val="0"/>
            <w:vAlign w:val="center"/>
          </w:tcPr>
          <w:p w14:paraId="2E90C984">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无变化和有变化及时申报的，得5分；有变化申报不及时的，得3分；有变化未申报的，不得分</w:t>
            </w:r>
          </w:p>
        </w:tc>
        <w:tc>
          <w:tcPr>
            <w:tcW w:w="467" w:type="pct"/>
            <w:noWrap w:val="0"/>
            <w:vAlign w:val="center"/>
          </w:tcPr>
          <w:p w14:paraId="7F17C4BD">
            <w:pPr>
              <w:jc w:val="center"/>
              <w:rPr>
                <w:rFonts w:hint="eastAsia" w:ascii="宋体" w:hAnsi="宋体" w:cs="宋体"/>
                <w:color w:val="000000"/>
                <w:szCs w:val="21"/>
              </w:rPr>
            </w:pPr>
          </w:p>
        </w:tc>
      </w:tr>
      <w:tr w14:paraId="6FEB55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35" w:hRule="atLeast"/>
          <w:jc w:val="center"/>
        </w:trPr>
        <w:tc>
          <w:tcPr>
            <w:tcW w:w="506" w:type="pct"/>
            <w:vMerge w:val="continue"/>
            <w:noWrap w:val="0"/>
            <w:vAlign w:val="center"/>
          </w:tcPr>
          <w:p w14:paraId="1C33EFC9">
            <w:pPr>
              <w:widowControl/>
              <w:textAlignment w:val="center"/>
              <w:rPr>
                <w:rFonts w:hint="eastAsia" w:ascii="宋体" w:hAnsi="宋体" w:cs="宋体"/>
                <w:color w:val="000000"/>
                <w:szCs w:val="21"/>
              </w:rPr>
            </w:pPr>
          </w:p>
        </w:tc>
        <w:tc>
          <w:tcPr>
            <w:tcW w:w="210" w:type="pct"/>
            <w:noWrap w:val="0"/>
            <w:vAlign w:val="center"/>
          </w:tcPr>
          <w:p w14:paraId="2BFC460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w:t>
            </w:r>
          </w:p>
        </w:tc>
        <w:tc>
          <w:tcPr>
            <w:tcW w:w="2006" w:type="pct"/>
            <w:noWrap w:val="0"/>
            <w:vAlign w:val="center"/>
          </w:tcPr>
          <w:p w14:paraId="5D6AEC44">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严格执行工伤保险辅助器具配置（更换）费用申报和审核流程，及时上传相关资料及结算信息，及时上报月结算表。（5分）</w:t>
            </w:r>
          </w:p>
        </w:tc>
        <w:tc>
          <w:tcPr>
            <w:tcW w:w="1809" w:type="pct"/>
            <w:noWrap w:val="0"/>
            <w:vAlign w:val="center"/>
          </w:tcPr>
          <w:p w14:paraId="04735224">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查看信息上传情况，每滞后报送一项业务，扣1分</w:t>
            </w:r>
          </w:p>
        </w:tc>
        <w:tc>
          <w:tcPr>
            <w:tcW w:w="467" w:type="pct"/>
            <w:noWrap w:val="0"/>
            <w:vAlign w:val="center"/>
          </w:tcPr>
          <w:p w14:paraId="1D3DBBDE">
            <w:pPr>
              <w:jc w:val="center"/>
              <w:rPr>
                <w:rFonts w:hint="eastAsia" w:ascii="宋体" w:hAnsi="宋体" w:cs="宋体"/>
                <w:color w:val="000000"/>
                <w:szCs w:val="21"/>
              </w:rPr>
            </w:pPr>
          </w:p>
        </w:tc>
      </w:tr>
      <w:tr w14:paraId="68266F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66" w:hRule="atLeast"/>
          <w:jc w:val="center"/>
        </w:trPr>
        <w:tc>
          <w:tcPr>
            <w:tcW w:w="506" w:type="pct"/>
            <w:vMerge w:val="continue"/>
            <w:noWrap w:val="0"/>
            <w:vAlign w:val="center"/>
          </w:tcPr>
          <w:p w14:paraId="263DD31A">
            <w:pPr>
              <w:rPr>
                <w:rFonts w:hint="eastAsia" w:ascii="宋体" w:hAnsi="宋体" w:cs="宋体"/>
                <w:color w:val="000000"/>
                <w:szCs w:val="21"/>
              </w:rPr>
            </w:pPr>
          </w:p>
        </w:tc>
        <w:tc>
          <w:tcPr>
            <w:tcW w:w="210" w:type="pct"/>
            <w:noWrap w:val="0"/>
            <w:vAlign w:val="center"/>
          </w:tcPr>
          <w:p w14:paraId="201932B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21</w:t>
            </w:r>
          </w:p>
        </w:tc>
        <w:tc>
          <w:tcPr>
            <w:tcW w:w="2006" w:type="pct"/>
            <w:noWrap w:val="0"/>
            <w:vAlign w:val="center"/>
          </w:tcPr>
          <w:p w14:paraId="17B4F020">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配置机构先行垫付的异地就医交通食宿费等资料是否按要求及时报送。（5分）</w:t>
            </w:r>
          </w:p>
        </w:tc>
        <w:tc>
          <w:tcPr>
            <w:tcW w:w="1809" w:type="pct"/>
            <w:noWrap w:val="0"/>
            <w:vAlign w:val="center"/>
          </w:tcPr>
          <w:p w14:paraId="2C7681D0">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核对报送情况，每滞后报送一项业务，扣1分</w:t>
            </w:r>
          </w:p>
        </w:tc>
        <w:tc>
          <w:tcPr>
            <w:tcW w:w="467" w:type="pct"/>
            <w:noWrap w:val="0"/>
            <w:vAlign w:val="center"/>
          </w:tcPr>
          <w:p w14:paraId="3F898F56">
            <w:pPr>
              <w:jc w:val="center"/>
              <w:rPr>
                <w:rFonts w:hint="eastAsia" w:ascii="宋体" w:hAnsi="宋体" w:cs="宋体"/>
                <w:color w:val="000000"/>
                <w:szCs w:val="21"/>
              </w:rPr>
            </w:pPr>
          </w:p>
        </w:tc>
      </w:tr>
      <w:tr w14:paraId="5C393F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06" w:type="pct"/>
            <w:vMerge w:val="continue"/>
            <w:noWrap w:val="0"/>
            <w:vAlign w:val="center"/>
          </w:tcPr>
          <w:p w14:paraId="36533BBD">
            <w:pPr>
              <w:rPr>
                <w:rFonts w:hint="eastAsia" w:ascii="宋体" w:hAnsi="宋体" w:cs="宋体"/>
                <w:color w:val="000000"/>
                <w:szCs w:val="21"/>
              </w:rPr>
            </w:pPr>
          </w:p>
        </w:tc>
        <w:tc>
          <w:tcPr>
            <w:tcW w:w="210" w:type="pct"/>
            <w:noWrap w:val="0"/>
            <w:vAlign w:val="center"/>
          </w:tcPr>
          <w:p w14:paraId="57DE134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22</w:t>
            </w:r>
          </w:p>
        </w:tc>
        <w:tc>
          <w:tcPr>
            <w:tcW w:w="2006" w:type="pct"/>
            <w:noWrap w:val="0"/>
            <w:vAlign w:val="center"/>
          </w:tcPr>
          <w:p w14:paraId="4D02CA7D">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配置档案记录管理规范，建档保存、配置记录应当真实、完整、清晰，出具有产品质量报告单。（5分）</w:t>
            </w:r>
          </w:p>
        </w:tc>
        <w:tc>
          <w:tcPr>
            <w:tcW w:w="1809" w:type="pct"/>
            <w:noWrap w:val="0"/>
            <w:vAlign w:val="center"/>
          </w:tcPr>
          <w:p w14:paraId="2CE4FC1A">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抽查档案资料，每发现存在一处问题的，扣1分</w:t>
            </w:r>
          </w:p>
        </w:tc>
        <w:tc>
          <w:tcPr>
            <w:tcW w:w="467" w:type="pct"/>
            <w:noWrap w:val="0"/>
            <w:vAlign w:val="center"/>
          </w:tcPr>
          <w:p w14:paraId="10D06A72">
            <w:pPr>
              <w:jc w:val="center"/>
              <w:rPr>
                <w:rFonts w:hint="eastAsia" w:ascii="宋体" w:hAnsi="宋体" w:cs="宋体"/>
                <w:color w:val="000000"/>
                <w:szCs w:val="21"/>
              </w:rPr>
            </w:pPr>
          </w:p>
        </w:tc>
      </w:tr>
      <w:tr w14:paraId="140B55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70" w:hRule="atLeast"/>
          <w:jc w:val="center"/>
        </w:trPr>
        <w:tc>
          <w:tcPr>
            <w:tcW w:w="506" w:type="pct"/>
            <w:vMerge w:val="continue"/>
            <w:noWrap w:val="0"/>
            <w:vAlign w:val="center"/>
          </w:tcPr>
          <w:p w14:paraId="30BA4032">
            <w:pPr>
              <w:rPr>
                <w:rFonts w:hint="eastAsia" w:ascii="宋体" w:hAnsi="宋体" w:cs="宋体"/>
                <w:color w:val="000000"/>
                <w:szCs w:val="21"/>
              </w:rPr>
            </w:pPr>
          </w:p>
        </w:tc>
        <w:tc>
          <w:tcPr>
            <w:tcW w:w="210" w:type="pct"/>
            <w:noWrap w:val="0"/>
            <w:vAlign w:val="center"/>
          </w:tcPr>
          <w:p w14:paraId="4C8641C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23</w:t>
            </w:r>
          </w:p>
        </w:tc>
        <w:tc>
          <w:tcPr>
            <w:tcW w:w="2006" w:type="pct"/>
            <w:noWrap w:val="0"/>
            <w:vAlign w:val="center"/>
          </w:tcPr>
          <w:p w14:paraId="00797EE0">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工伤保险辅助器具配置目录及时更新维护，与社保经办机构对照准确，按国家及省内有关规定执行。（5分）</w:t>
            </w:r>
          </w:p>
        </w:tc>
        <w:tc>
          <w:tcPr>
            <w:tcW w:w="1809" w:type="pct"/>
            <w:noWrap w:val="0"/>
            <w:vAlign w:val="center"/>
          </w:tcPr>
          <w:p w14:paraId="6B9A4CAF">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目录维护有差错的，扣1分；产品目录与与社保经办机构对照不准的，每发现一项问题，扣1分</w:t>
            </w:r>
          </w:p>
        </w:tc>
        <w:tc>
          <w:tcPr>
            <w:tcW w:w="467" w:type="pct"/>
            <w:noWrap w:val="0"/>
            <w:vAlign w:val="center"/>
          </w:tcPr>
          <w:p w14:paraId="58F16559">
            <w:pPr>
              <w:jc w:val="center"/>
              <w:rPr>
                <w:rFonts w:hint="eastAsia" w:ascii="宋体" w:hAnsi="宋体" w:cs="宋体"/>
                <w:color w:val="000000"/>
                <w:szCs w:val="21"/>
              </w:rPr>
            </w:pPr>
          </w:p>
        </w:tc>
      </w:tr>
      <w:tr w14:paraId="449ACD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24" w:hRule="atLeast"/>
          <w:jc w:val="center"/>
        </w:trPr>
        <w:tc>
          <w:tcPr>
            <w:tcW w:w="506" w:type="pct"/>
            <w:vMerge w:val="continue"/>
            <w:noWrap w:val="0"/>
            <w:vAlign w:val="center"/>
          </w:tcPr>
          <w:p w14:paraId="706052A5">
            <w:pPr>
              <w:rPr>
                <w:rFonts w:hint="eastAsia" w:ascii="宋体" w:hAnsi="宋体" w:cs="宋体"/>
                <w:color w:val="000000"/>
                <w:szCs w:val="21"/>
              </w:rPr>
            </w:pPr>
          </w:p>
        </w:tc>
        <w:tc>
          <w:tcPr>
            <w:tcW w:w="210" w:type="pct"/>
            <w:noWrap w:val="0"/>
            <w:vAlign w:val="center"/>
          </w:tcPr>
          <w:p w14:paraId="798D7BD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24</w:t>
            </w:r>
          </w:p>
        </w:tc>
        <w:tc>
          <w:tcPr>
            <w:tcW w:w="2006" w:type="pct"/>
            <w:noWrap w:val="0"/>
            <w:vAlign w:val="center"/>
          </w:tcPr>
          <w:p w14:paraId="5440CFE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协议机构专项检查中对发现问题及时整改到位。（5分）</w:t>
            </w:r>
          </w:p>
        </w:tc>
        <w:tc>
          <w:tcPr>
            <w:tcW w:w="1809" w:type="pct"/>
            <w:noWrap w:val="0"/>
            <w:vAlign w:val="center"/>
          </w:tcPr>
          <w:p w14:paraId="61FB21DF">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检查中对于发现的问题未整改到位的，扣5分</w:t>
            </w:r>
          </w:p>
        </w:tc>
        <w:tc>
          <w:tcPr>
            <w:tcW w:w="467" w:type="pct"/>
            <w:noWrap w:val="0"/>
            <w:vAlign w:val="center"/>
          </w:tcPr>
          <w:p w14:paraId="0B933A0D">
            <w:pPr>
              <w:jc w:val="center"/>
              <w:rPr>
                <w:rFonts w:hint="eastAsia" w:ascii="宋体" w:hAnsi="宋体" w:cs="宋体"/>
                <w:color w:val="000000"/>
                <w:szCs w:val="21"/>
              </w:rPr>
            </w:pPr>
          </w:p>
        </w:tc>
      </w:tr>
      <w:tr w14:paraId="494200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506" w:type="pct"/>
            <w:vMerge w:val="restart"/>
            <w:noWrap w:val="0"/>
            <w:vAlign w:val="center"/>
          </w:tcPr>
          <w:p w14:paraId="73BFD0E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四、信息管理（15分）</w:t>
            </w:r>
          </w:p>
        </w:tc>
        <w:tc>
          <w:tcPr>
            <w:tcW w:w="210" w:type="pct"/>
            <w:noWrap w:val="0"/>
            <w:vAlign w:val="center"/>
          </w:tcPr>
          <w:p w14:paraId="7C658BB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25</w:t>
            </w:r>
          </w:p>
        </w:tc>
        <w:tc>
          <w:tcPr>
            <w:tcW w:w="2006" w:type="pct"/>
            <w:noWrap w:val="0"/>
            <w:vAlign w:val="center"/>
          </w:tcPr>
          <w:p w14:paraId="686FC6D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协议机构信息系统畅通。（4分）</w:t>
            </w:r>
          </w:p>
        </w:tc>
        <w:tc>
          <w:tcPr>
            <w:tcW w:w="1809" w:type="pct"/>
            <w:noWrap w:val="0"/>
            <w:vAlign w:val="center"/>
          </w:tcPr>
          <w:p w14:paraId="6837810A">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查看系统稳定性。发现一处问题，扣2分</w:t>
            </w:r>
          </w:p>
        </w:tc>
        <w:tc>
          <w:tcPr>
            <w:tcW w:w="467" w:type="pct"/>
            <w:noWrap w:val="0"/>
            <w:vAlign w:val="center"/>
          </w:tcPr>
          <w:p w14:paraId="59462208">
            <w:pPr>
              <w:jc w:val="center"/>
              <w:rPr>
                <w:rFonts w:hint="eastAsia" w:ascii="宋体" w:hAnsi="宋体" w:cs="宋体"/>
                <w:color w:val="000000"/>
                <w:szCs w:val="21"/>
              </w:rPr>
            </w:pPr>
          </w:p>
        </w:tc>
      </w:tr>
      <w:tr w14:paraId="71FDFD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64" w:hRule="atLeast"/>
          <w:jc w:val="center"/>
        </w:trPr>
        <w:tc>
          <w:tcPr>
            <w:tcW w:w="506" w:type="pct"/>
            <w:vMerge w:val="continue"/>
            <w:noWrap w:val="0"/>
            <w:vAlign w:val="center"/>
          </w:tcPr>
          <w:p w14:paraId="21C3D5D9">
            <w:pPr>
              <w:rPr>
                <w:rFonts w:hint="eastAsia" w:ascii="宋体" w:hAnsi="宋体" w:cs="宋体"/>
                <w:color w:val="000000"/>
                <w:szCs w:val="21"/>
              </w:rPr>
            </w:pPr>
          </w:p>
        </w:tc>
        <w:tc>
          <w:tcPr>
            <w:tcW w:w="210" w:type="pct"/>
            <w:noWrap w:val="0"/>
            <w:vAlign w:val="center"/>
          </w:tcPr>
          <w:p w14:paraId="736C69D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26</w:t>
            </w:r>
          </w:p>
        </w:tc>
        <w:tc>
          <w:tcPr>
            <w:tcW w:w="2006" w:type="pct"/>
            <w:noWrap w:val="0"/>
            <w:vAlign w:val="center"/>
          </w:tcPr>
          <w:p w14:paraId="1B57ECB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辅助器具配置完成后，及时上传费用结算及其他相关信息，确保真实准确。（4分）</w:t>
            </w:r>
          </w:p>
        </w:tc>
        <w:tc>
          <w:tcPr>
            <w:tcW w:w="1809" w:type="pct"/>
            <w:noWrap w:val="0"/>
            <w:vAlign w:val="center"/>
          </w:tcPr>
          <w:p w14:paraId="4AE9D784">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抽查上传的及时性准确性，发现1处问题，扣1分</w:t>
            </w:r>
          </w:p>
        </w:tc>
        <w:tc>
          <w:tcPr>
            <w:tcW w:w="467" w:type="pct"/>
            <w:noWrap w:val="0"/>
            <w:vAlign w:val="center"/>
          </w:tcPr>
          <w:p w14:paraId="4201B581">
            <w:pPr>
              <w:jc w:val="center"/>
              <w:rPr>
                <w:rFonts w:hint="eastAsia" w:ascii="宋体" w:hAnsi="宋体" w:cs="宋体"/>
                <w:color w:val="000000"/>
                <w:szCs w:val="21"/>
              </w:rPr>
            </w:pPr>
          </w:p>
        </w:tc>
      </w:tr>
      <w:tr w14:paraId="44AABC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5" w:hRule="atLeast"/>
          <w:jc w:val="center"/>
        </w:trPr>
        <w:tc>
          <w:tcPr>
            <w:tcW w:w="506" w:type="pct"/>
            <w:vMerge w:val="continue"/>
            <w:noWrap w:val="0"/>
            <w:vAlign w:val="center"/>
          </w:tcPr>
          <w:p w14:paraId="437145C7">
            <w:pPr>
              <w:rPr>
                <w:rFonts w:hint="eastAsia" w:ascii="宋体" w:hAnsi="宋体" w:cs="宋体"/>
                <w:color w:val="000000"/>
                <w:szCs w:val="21"/>
              </w:rPr>
            </w:pPr>
          </w:p>
        </w:tc>
        <w:tc>
          <w:tcPr>
            <w:tcW w:w="210" w:type="pct"/>
            <w:noWrap w:val="0"/>
            <w:vAlign w:val="center"/>
          </w:tcPr>
          <w:p w14:paraId="34357F7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27</w:t>
            </w:r>
          </w:p>
        </w:tc>
        <w:tc>
          <w:tcPr>
            <w:tcW w:w="2006" w:type="pct"/>
            <w:noWrap w:val="0"/>
            <w:vAlign w:val="center"/>
          </w:tcPr>
          <w:p w14:paraId="1EA126A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辅助器具配置机构信息系统做到准确对应，做好编码对接和维护工作。（3分）</w:t>
            </w:r>
          </w:p>
        </w:tc>
        <w:tc>
          <w:tcPr>
            <w:tcW w:w="1809" w:type="pct"/>
            <w:noWrap w:val="0"/>
            <w:vAlign w:val="center"/>
          </w:tcPr>
          <w:p w14:paraId="5372997C">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查看比对情况，每发现一处不符合要求的，扣1分</w:t>
            </w:r>
          </w:p>
        </w:tc>
        <w:tc>
          <w:tcPr>
            <w:tcW w:w="467" w:type="pct"/>
            <w:noWrap w:val="0"/>
            <w:vAlign w:val="center"/>
          </w:tcPr>
          <w:p w14:paraId="72E83103">
            <w:pPr>
              <w:jc w:val="center"/>
              <w:rPr>
                <w:rFonts w:hint="eastAsia" w:ascii="宋体" w:hAnsi="宋体" w:cs="宋体"/>
                <w:color w:val="000000"/>
                <w:szCs w:val="21"/>
              </w:rPr>
            </w:pPr>
          </w:p>
        </w:tc>
      </w:tr>
      <w:tr w14:paraId="586386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06" w:type="pct"/>
            <w:vMerge w:val="continue"/>
            <w:noWrap w:val="0"/>
            <w:vAlign w:val="center"/>
          </w:tcPr>
          <w:p w14:paraId="0345837D">
            <w:pPr>
              <w:rPr>
                <w:rFonts w:hint="eastAsia" w:ascii="宋体" w:hAnsi="宋体" w:cs="宋体"/>
                <w:color w:val="000000"/>
                <w:szCs w:val="21"/>
              </w:rPr>
            </w:pPr>
          </w:p>
        </w:tc>
        <w:tc>
          <w:tcPr>
            <w:tcW w:w="210" w:type="pct"/>
            <w:noWrap w:val="0"/>
            <w:vAlign w:val="center"/>
          </w:tcPr>
          <w:p w14:paraId="7C5FB77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28</w:t>
            </w:r>
          </w:p>
        </w:tc>
        <w:tc>
          <w:tcPr>
            <w:tcW w:w="2006" w:type="pct"/>
            <w:noWrap w:val="0"/>
            <w:vAlign w:val="center"/>
          </w:tcPr>
          <w:p w14:paraId="1EBC924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按照规定建立信息安全体系，采取有效措施保护参保人信息。（2分）</w:t>
            </w:r>
          </w:p>
        </w:tc>
        <w:tc>
          <w:tcPr>
            <w:tcW w:w="1809" w:type="pct"/>
            <w:noWrap w:val="0"/>
            <w:vAlign w:val="center"/>
          </w:tcPr>
          <w:p w14:paraId="10ADB21D">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查看有关制度和工作记录，每发现一处不符合要求的，扣1分</w:t>
            </w:r>
          </w:p>
        </w:tc>
        <w:tc>
          <w:tcPr>
            <w:tcW w:w="467" w:type="pct"/>
            <w:noWrap w:val="0"/>
            <w:vAlign w:val="center"/>
          </w:tcPr>
          <w:p w14:paraId="4D05864F">
            <w:pPr>
              <w:jc w:val="center"/>
              <w:rPr>
                <w:rFonts w:hint="eastAsia" w:ascii="宋体" w:hAnsi="宋体" w:cs="宋体"/>
                <w:color w:val="000000"/>
                <w:szCs w:val="21"/>
              </w:rPr>
            </w:pPr>
          </w:p>
        </w:tc>
      </w:tr>
      <w:tr w14:paraId="2D4E1D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96" w:hRule="atLeast"/>
          <w:jc w:val="center"/>
        </w:trPr>
        <w:tc>
          <w:tcPr>
            <w:tcW w:w="506" w:type="pct"/>
            <w:vMerge w:val="continue"/>
            <w:noWrap w:val="0"/>
            <w:vAlign w:val="center"/>
          </w:tcPr>
          <w:p w14:paraId="60C7174B">
            <w:pPr>
              <w:rPr>
                <w:rFonts w:hint="eastAsia" w:ascii="宋体" w:hAnsi="宋体" w:cs="宋体"/>
                <w:color w:val="000000"/>
                <w:szCs w:val="21"/>
              </w:rPr>
            </w:pPr>
          </w:p>
        </w:tc>
        <w:tc>
          <w:tcPr>
            <w:tcW w:w="210" w:type="pct"/>
            <w:noWrap w:val="0"/>
            <w:vAlign w:val="center"/>
          </w:tcPr>
          <w:p w14:paraId="6A6F57E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29</w:t>
            </w:r>
          </w:p>
        </w:tc>
        <w:tc>
          <w:tcPr>
            <w:tcW w:w="2006" w:type="pct"/>
            <w:noWrap w:val="0"/>
            <w:vAlign w:val="center"/>
          </w:tcPr>
          <w:p w14:paraId="5873194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制定紧急预案措施，因信息系统故障暂时不能结算的，应及时做好解释工作。（2分）</w:t>
            </w:r>
          </w:p>
        </w:tc>
        <w:tc>
          <w:tcPr>
            <w:tcW w:w="1809" w:type="pct"/>
            <w:noWrap w:val="0"/>
            <w:vAlign w:val="center"/>
          </w:tcPr>
          <w:p w14:paraId="0272B521">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查看文件和工作记录，没有预案的不得分，有预案未落实到位的，扣1分</w:t>
            </w:r>
          </w:p>
        </w:tc>
        <w:tc>
          <w:tcPr>
            <w:tcW w:w="467" w:type="pct"/>
            <w:noWrap w:val="0"/>
            <w:vAlign w:val="center"/>
          </w:tcPr>
          <w:p w14:paraId="105206B0">
            <w:pPr>
              <w:jc w:val="center"/>
              <w:rPr>
                <w:rFonts w:hint="eastAsia" w:ascii="宋体" w:hAnsi="宋体" w:cs="宋体"/>
                <w:color w:val="000000"/>
                <w:szCs w:val="21"/>
              </w:rPr>
            </w:pPr>
          </w:p>
        </w:tc>
      </w:tr>
      <w:tr w14:paraId="3E01C1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2722" w:type="pct"/>
            <w:gridSpan w:val="3"/>
            <w:noWrap w:val="0"/>
            <w:vAlign w:val="center"/>
          </w:tcPr>
          <w:p w14:paraId="493C890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总分合计：</w:t>
            </w:r>
          </w:p>
        </w:tc>
        <w:tc>
          <w:tcPr>
            <w:tcW w:w="1809" w:type="pct"/>
            <w:noWrap w:val="0"/>
            <w:vAlign w:val="center"/>
          </w:tcPr>
          <w:p w14:paraId="4826C53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100分</w:t>
            </w:r>
          </w:p>
        </w:tc>
        <w:tc>
          <w:tcPr>
            <w:tcW w:w="467" w:type="pct"/>
            <w:noWrap w:val="0"/>
            <w:vAlign w:val="center"/>
          </w:tcPr>
          <w:p w14:paraId="2219BD7A">
            <w:pPr>
              <w:rPr>
                <w:rFonts w:hint="eastAsia" w:ascii="宋体" w:hAnsi="宋体" w:cs="宋体"/>
                <w:color w:val="000000"/>
                <w:szCs w:val="21"/>
              </w:rPr>
            </w:pPr>
          </w:p>
        </w:tc>
      </w:tr>
    </w:tbl>
    <w:p w14:paraId="4DE6F4EC">
      <w:pPr>
        <w:spacing w:line="590" w:lineRule="exact"/>
        <w:ind w:firstLine="10500" w:firstLineChars="5000"/>
        <w:jc w:val="left"/>
        <w:rPr>
          <w:rFonts w:hint="eastAsia" w:ascii="黑体" w:hAnsi="黑体" w:eastAsia="黑体" w:cs="黑体"/>
          <w:bCs/>
          <w:color w:val="000000"/>
          <w:spacing w:val="4"/>
          <w:w w:val="97"/>
          <w:sz w:val="32"/>
          <w:szCs w:val="32"/>
        </w:rPr>
      </w:pPr>
      <w:r>
        <w:rPr>
          <w:rFonts w:hint="eastAsia" w:ascii="宋体" w:hAnsi="宋体" w:cs="宋体"/>
          <w:color w:val="000000"/>
          <w:kern w:val="0"/>
          <w:szCs w:val="21"/>
          <w:lang w:bidi="ar"/>
        </w:rPr>
        <w:t xml:space="preserve"> 年    月    日 </w:t>
      </w:r>
    </w:p>
    <w:p w14:paraId="1381C8A4">
      <w:pPr>
        <w:spacing w:line="590" w:lineRule="exact"/>
        <w:jc w:val="left"/>
        <w:rPr>
          <w:rFonts w:hint="eastAsia" w:ascii="黑体" w:hAnsi="黑体" w:eastAsia="黑体" w:cs="黑体"/>
          <w:bCs/>
          <w:color w:val="000000"/>
          <w:spacing w:val="4"/>
          <w:w w:val="97"/>
          <w:sz w:val="32"/>
          <w:szCs w:val="32"/>
        </w:rPr>
      </w:pPr>
    </w:p>
    <w:p w14:paraId="1B8271AD">
      <w:pPr>
        <w:spacing w:line="590" w:lineRule="exact"/>
        <w:jc w:val="left"/>
        <w:rPr>
          <w:rFonts w:hint="eastAsia" w:ascii="黑体" w:hAnsi="黑体" w:eastAsia="黑体" w:cs="黑体"/>
          <w:bCs/>
          <w:color w:val="000000"/>
          <w:spacing w:val="4"/>
          <w:w w:val="97"/>
          <w:sz w:val="32"/>
          <w:szCs w:val="32"/>
        </w:rPr>
        <w:sectPr>
          <w:footerReference r:id="rId3" w:type="default"/>
          <w:footerReference r:id="rId4" w:type="even"/>
          <w:pgSz w:w="16838" w:h="11906" w:orient="landscape"/>
          <w:pgMar w:top="1531" w:right="1701" w:bottom="1531" w:left="1701" w:header="851" w:footer="1304" w:gutter="0"/>
          <w:cols w:space="720" w:num="1"/>
          <w:docGrid w:type="lines" w:linePitch="315" w:charSpace="0"/>
        </w:sectPr>
      </w:pPr>
    </w:p>
    <w:p w14:paraId="374FF43B">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panose1 w:val="02010601030101010101"/>
    <w:charset w:val="86"/>
    <w:family w:val="auto"/>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70DE8">
    <w:pPr>
      <w:pStyle w:val="4"/>
      <w:ind w:right="420" w:rightChars="200"/>
      <w:jc w:val="center"/>
    </w:pPr>
    <w:r>
      <w:rPr>
        <w:sz w:val="28"/>
        <w:szCs w:val="28"/>
      </w:rPr>
      <w:t xml:space="preserve">— </w:t>
    </w:r>
    <w:r>
      <w:rPr>
        <w:sz w:val="28"/>
        <w:szCs w:val="28"/>
      </w:rPr>
      <w:fldChar w:fldCharType="begin"/>
    </w:r>
    <w:r>
      <w:rPr>
        <w:rStyle w:val="9"/>
        <w:sz w:val="28"/>
        <w:szCs w:val="28"/>
      </w:rPr>
      <w:instrText xml:space="preserve"> PAGE </w:instrText>
    </w:r>
    <w:r>
      <w:rPr>
        <w:sz w:val="28"/>
        <w:szCs w:val="28"/>
      </w:rPr>
      <w:fldChar w:fldCharType="separate"/>
    </w:r>
    <w:r>
      <w:rPr>
        <w:rStyle w:val="9"/>
        <w:sz w:val="28"/>
        <w:szCs w:val="28"/>
      </w:rPr>
      <w:t>37</w:t>
    </w:r>
    <w:r>
      <w:rPr>
        <w:sz w:val="28"/>
        <w:szCs w:val="28"/>
      </w:rPr>
      <w:fldChar w:fldCharType="end"/>
    </w:r>
    <w:r>
      <w:rPr>
        <w:rStyle w:val="9"/>
        <w:sz w:val="28"/>
        <w:szCs w:val="28"/>
      </w:rPr>
      <w:t xml:space="preserve"> </w:t>
    </w:r>
    <w:r>
      <w:rPr>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DE185">
    <w:pPr>
      <w:pStyle w:val="4"/>
      <w:ind w:left="420" w:leftChars="200"/>
      <w:jc w:val="center"/>
    </w:pPr>
    <w:r>
      <w:rPr>
        <w:sz w:val="28"/>
        <w:szCs w:val="28"/>
      </w:rPr>
      <w:t xml:space="preserve">— </w:t>
    </w:r>
    <w:r>
      <w:rPr>
        <w:sz w:val="28"/>
        <w:szCs w:val="28"/>
      </w:rPr>
      <w:fldChar w:fldCharType="begin"/>
    </w:r>
    <w:r>
      <w:rPr>
        <w:rStyle w:val="9"/>
        <w:sz w:val="28"/>
        <w:szCs w:val="28"/>
      </w:rPr>
      <w:instrText xml:space="preserve"> PAGE </w:instrText>
    </w:r>
    <w:r>
      <w:rPr>
        <w:sz w:val="28"/>
        <w:szCs w:val="28"/>
      </w:rPr>
      <w:fldChar w:fldCharType="separate"/>
    </w:r>
    <w:r>
      <w:rPr>
        <w:rStyle w:val="9"/>
        <w:sz w:val="28"/>
        <w:szCs w:val="28"/>
      </w:rPr>
      <w:t>36</w:t>
    </w:r>
    <w:r>
      <w:rPr>
        <w:sz w:val="28"/>
        <w:szCs w:val="28"/>
      </w:rPr>
      <w:fldChar w:fldCharType="end"/>
    </w:r>
    <w:r>
      <w:rPr>
        <w:rStyle w:val="9"/>
        <w:sz w:val="28"/>
        <w:szCs w:val="28"/>
      </w:rPr>
      <w:t xml:space="preserve"> </w:t>
    </w:r>
    <w:r>
      <w:rPr>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266FC"/>
    <w:rsid w:val="59A26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3">
    <w:name w:val="Body Text Indent"/>
    <w:basedOn w:val="1"/>
    <w:unhideWhenUsed/>
    <w:qFormat/>
    <w:uiPriority w:val="99"/>
    <w:pPr>
      <w:ind w:firstLine="630"/>
    </w:pPr>
    <w:rPr>
      <w:rFonts w:ascii="Times New Roman" w:hAnsi="Times New Roman" w:eastAsia="方正仿宋简体"/>
      <w:szCs w:val="24"/>
    </w:rPr>
  </w:style>
  <w:style w:type="paragraph" w:styleId="4">
    <w:name w:val="footer"/>
    <w:basedOn w:val="1"/>
    <w:uiPriority w:val="99"/>
    <w:pPr>
      <w:tabs>
        <w:tab w:val="center" w:pos="4153"/>
        <w:tab w:val="right" w:pos="8306"/>
      </w:tabs>
      <w:snapToGrid w:val="0"/>
      <w:jc w:val="left"/>
    </w:pPr>
    <w:rPr>
      <w:sz w:val="18"/>
      <w:szCs w:val="18"/>
    </w:rPr>
  </w:style>
  <w:style w:type="paragraph" w:styleId="5">
    <w:name w:val="Body Text First Indent"/>
    <w:basedOn w:val="2"/>
    <w:next w:val="6"/>
    <w:qFormat/>
    <w:uiPriority w:val="0"/>
    <w:pPr>
      <w:ind w:firstLine="420" w:firstLineChars="100"/>
    </w:pPr>
    <w:rPr>
      <w:szCs w:val="24"/>
    </w:rPr>
  </w:style>
  <w:style w:type="paragraph" w:styleId="6">
    <w:name w:val="Body Text First Indent 2"/>
    <w:basedOn w:val="3"/>
    <w:qFormat/>
    <w:uiPriority w:val="0"/>
    <w:pPr>
      <w:ind w:firstLine="420" w:firstLineChars="200"/>
    </w:pPr>
  </w:style>
  <w:style w:type="character" w:customStyle="1" w:styleId="9">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2025-07-24T08:46:00Z</dcterms:created>
  <dc:creator>四驱小蜗牛</dc:creator>
  <cp:lastModifiedBy>四驱小蜗牛</cp:lastModifiedBy>
  <dcterms:modified xsi:type="dcterms:W3CDTF">2025-07-24T08:46:14Z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6A075ECDAF7C403CA2D76E829DE68899_11</vt:lpwstr>
  </property>
  <property fmtid="{D5CDD505-2E9C-101B-9397-08002B2CF9AE}" pid="4" name="KSOTemplateDocerSaveRecord">
    <vt:lpwstr>eyJoZGlkIjoiNDI4NDk3NmJjYWM1N2JlMDY1YTEyZjRkYjdiMzAzNWEiLCJ1c2VySWQiOiIyNjQyNjY1MDEifQ==</vt:lpwstr>
  </property>
</Properties>
</file>