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D5A3">
      <w:pPr>
        <w:spacing w:line="460" w:lineRule="exact"/>
        <w:jc w:val="left"/>
        <w:rPr>
          <w:rFonts w:ascii="黑体" w:hAnsi="黑体" w:eastAsia="黑体" w:cs="黑体"/>
          <w:bCs/>
          <w:color w:val="000000"/>
          <w:spacing w:val="4"/>
          <w:w w:val="97"/>
          <w:sz w:val="32"/>
          <w:szCs w:val="32"/>
        </w:rPr>
      </w:pPr>
      <w:r>
        <w:rPr>
          <w:rFonts w:hint="eastAsia" w:ascii="黑体" w:hAnsi="黑体" w:eastAsia="黑体" w:cs="黑体"/>
          <w:bCs/>
          <w:color w:val="000000"/>
          <w:spacing w:val="4"/>
          <w:w w:val="97"/>
          <w:sz w:val="32"/>
          <w:szCs w:val="32"/>
        </w:rPr>
        <w:t>附件7</w:t>
      </w:r>
    </w:p>
    <w:p w14:paraId="6BF75D07">
      <w:pPr>
        <w:spacing w:before="157" w:beforeLines="50" w:after="315" w:afterLines="100" w:line="590" w:lineRule="exact"/>
        <w:jc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河南省工伤保险医疗（康复）协议服务机构综合考核表</w:t>
      </w:r>
    </w:p>
    <w:p w14:paraId="48E5C2AA">
      <w:pPr>
        <w:pStyle w:val="5"/>
        <w:ind w:firstLine="0" w:firstLineChars="0"/>
        <w:rPr>
          <w:rFonts w:hint="eastAsia"/>
        </w:rPr>
      </w:pPr>
      <w:r>
        <w:rPr>
          <w:rFonts w:hint="eastAsia" w:ascii="宋体" w:hAnsi="宋体" w:cs="宋体"/>
          <w:color w:val="000000"/>
          <w:kern w:val="0"/>
          <w:szCs w:val="21"/>
          <w:lang w:bidi="ar"/>
        </w:rPr>
        <w:t>协议医疗机构名称（盖章）:                                                                   编号：</w:t>
      </w:r>
    </w:p>
    <w:tbl>
      <w:tblPr>
        <w:tblStyle w:val="7"/>
        <w:tblW w:w="5161"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496"/>
        <w:gridCol w:w="603"/>
        <w:gridCol w:w="5846"/>
        <w:gridCol w:w="5535"/>
        <w:gridCol w:w="1150"/>
      </w:tblGrid>
      <w:tr w14:paraId="05B153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blHeader/>
          <w:jc w:val="center"/>
        </w:trPr>
        <w:tc>
          <w:tcPr>
            <w:tcW w:w="511" w:type="pct"/>
            <w:noWrap w:val="0"/>
            <w:vAlign w:val="center"/>
          </w:tcPr>
          <w:p w14:paraId="66002DD5">
            <w:pPr>
              <w:widowControl/>
              <w:ind w:left="-63" w:leftChars="-30" w:right="-63" w:rightChars="-3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考核项目</w:t>
            </w:r>
          </w:p>
        </w:tc>
        <w:tc>
          <w:tcPr>
            <w:tcW w:w="206" w:type="pct"/>
            <w:noWrap w:val="0"/>
            <w:vAlign w:val="center"/>
          </w:tcPr>
          <w:p w14:paraId="4CEFAC26">
            <w:pPr>
              <w:widowControl/>
              <w:ind w:left="-63" w:leftChars="-30" w:right="-63" w:rightChars="-3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995" w:type="pct"/>
            <w:noWrap w:val="0"/>
            <w:vAlign w:val="center"/>
          </w:tcPr>
          <w:p w14:paraId="2D03743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考核内容</w:t>
            </w:r>
          </w:p>
        </w:tc>
        <w:tc>
          <w:tcPr>
            <w:tcW w:w="1891" w:type="pct"/>
            <w:noWrap w:val="0"/>
            <w:vAlign w:val="center"/>
          </w:tcPr>
          <w:p w14:paraId="242EA3C2">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评分标准</w:t>
            </w:r>
          </w:p>
        </w:tc>
        <w:tc>
          <w:tcPr>
            <w:tcW w:w="393" w:type="pct"/>
            <w:noWrap w:val="0"/>
            <w:vAlign w:val="center"/>
          </w:tcPr>
          <w:p w14:paraId="57C81327">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得分</w:t>
            </w:r>
          </w:p>
        </w:tc>
      </w:tr>
      <w:tr w14:paraId="11CE6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11" w:type="pct"/>
            <w:vMerge w:val="restart"/>
            <w:noWrap w:val="0"/>
            <w:vAlign w:val="center"/>
          </w:tcPr>
          <w:p w14:paraId="4F8816E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一、综合管理（20分）</w:t>
            </w:r>
          </w:p>
        </w:tc>
        <w:tc>
          <w:tcPr>
            <w:tcW w:w="206" w:type="pct"/>
            <w:noWrap w:val="0"/>
            <w:vAlign w:val="center"/>
          </w:tcPr>
          <w:p w14:paraId="374947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1995" w:type="pct"/>
            <w:noWrap w:val="0"/>
            <w:vAlign w:val="center"/>
          </w:tcPr>
          <w:p w14:paraId="2BF04EFA">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医疗机构设有工伤医疗管理部门。（2分）</w:t>
            </w:r>
          </w:p>
        </w:tc>
        <w:tc>
          <w:tcPr>
            <w:tcW w:w="1891" w:type="pct"/>
            <w:noWrap w:val="0"/>
            <w:vAlign w:val="center"/>
          </w:tcPr>
          <w:p w14:paraId="59A10F95">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有管理部门的，得2分；无管理部门的，不得分</w:t>
            </w:r>
          </w:p>
        </w:tc>
        <w:tc>
          <w:tcPr>
            <w:tcW w:w="393" w:type="pct"/>
            <w:noWrap w:val="0"/>
            <w:vAlign w:val="center"/>
          </w:tcPr>
          <w:p w14:paraId="442085E9">
            <w:pPr>
              <w:widowControl/>
              <w:spacing w:line="260" w:lineRule="exact"/>
              <w:jc w:val="center"/>
              <w:rPr>
                <w:rFonts w:hint="eastAsia" w:ascii="宋体" w:hAnsi="宋体" w:cs="宋体"/>
                <w:color w:val="000000"/>
                <w:szCs w:val="21"/>
              </w:rPr>
            </w:pPr>
          </w:p>
        </w:tc>
      </w:tr>
      <w:tr w14:paraId="1610DB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11" w:type="pct"/>
            <w:vMerge w:val="continue"/>
            <w:noWrap w:val="0"/>
            <w:vAlign w:val="center"/>
          </w:tcPr>
          <w:p w14:paraId="094273A4">
            <w:pPr>
              <w:rPr>
                <w:rFonts w:hint="eastAsia" w:ascii="宋体" w:hAnsi="宋体" w:cs="宋体"/>
                <w:color w:val="000000"/>
                <w:szCs w:val="21"/>
              </w:rPr>
            </w:pPr>
          </w:p>
        </w:tc>
        <w:tc>
          <w:tcPr>
            <w:tcW w:w="206" w:type="pct"/>
            <w:noWrap w:val="0"/>
            <w:vAlign w:val="center"/>
          </w:tcPr>
          <w:p w14:paraId="06FAF63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1995" w:type="pct"/>
            <w:noWrap w:val="0"/>
            <w:vAlign w:val="center"/>
          </w:tcPr>
          <w:p w14:paraId="7781C65F">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配备专职或兼职工伤医疗管理人员。（2分）</w:t>
            </w:r>
          </w:p>
        </w:tc>
        <w:tc>
          <w:tcPr>
            <w:tcW w:w="1891" w:type="pct"/>
            <w:noWrap w:val="0"/>
            <w:vAlign w:val="center"/>
          </w:tcPr>
          <w:p w14:paraId="2F194BF7">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有专职的，得2分；有兼职的，得1分</w:t>
            </w:r>
          </w:p>
        </w:tc>
        <w:tc>
          <w:tcPr>
            <w:tcW w:w="393" w:type="pct"/>
            <w:noWrap w:val="0"/>
            <w:vAlign w:val="center"/>
          </w:tcPr>
          <w:p w14:paraId="3856F043">
            <w:pPr>
              <w:widowControl/>
              <w:spacing w:line="260" w:lineRule="exact"/>
              <w:jc w:val="center"/>
              <w:rPr>
                <w:rFonts w:hint="eastAsia" w:ascii="宋体" w:hAnsi="宋体" w:cs="宋体"/>
                <w:color w:val="000000"/>
                <w:szCs w:val="21"/>
              </w:rPr>
            </w:pPr>
          </w:p>
        </w:tc>
      </w:tr>
      <w:tr w14:paraId="7786F2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511" w:type="pct"/>
            <w:vMerge w:val="continue"/>
            <w:noWrap w:val="0"/>
            <w:vAlign w:val="center"/>
          </w:tcPr>
          <w:p w14:paraId="127BF63D">
            <w:pPr>
              <w:rPr>
                <w:rFonts w:hint="eastAsia" w:ascii="宋体" w:hAnsi="宋体" w:cs="宋体"/>
                <w:color w:val="000000"/>
                <w:szCs w:val="21"/>
              </w:rPr>
            </w:pPr>
          </w:p>
        </w:tc>
        <w:tc>
          <w:tcPr>
            <w:tcW w:w="206" w:type="pct"/>
            <w:noWrap w:val="0"/>
            <w:vAlign w:val="center"/>
          </w:tcPr>
          <w:p w14:paraId="0203422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995" w:type="pct"/>
            <w:noWrap w:val="0"/>
            <w:vAlign w:val="center"/>
          </w:tcPr>
          <w:p w14:paraId="2C8E042D">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为工伤提供服务的执业医师、执业护士、执业药师、技师（含康复及辅助器具）等专业技术人员应具备相应专业资格证书、注册证书及上岗证等证件。（2分）</w:t>
            </w:r>
          </w:p>
        </w:tc>
        <w:tc>
          <w:tcPr>
            <w:tcW w:w="1891" w:type="pct"/>
            <w:noWrap w:val="0"/>
            <w:vAlign w:val="center"/>
          </w:tcPr>
          <w:p w14:paraId="10391229">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随机抽查，证书齐全的，得2分；抽查缺失一项的，扣1分</w:t>
            </w:r>
          </w:p>
        </w:tc>
        <w:tc>
          <w:tcPr>
            <w:tcW w:w="393" w:type="pct"/>
            <w:noWrap w:val="0"/>
            <w:vAlign w:val="center"/>
          </w:tcPr>
          <w:p w14:paraId="62F13026">
            <w:pPr>
              <w:widowControl/>
              <w:spacing w:line="260" w:lineRule="exact"/>
              <w:jc w:val="center"/>
              <w:rPr>
                <w:rFonts w:hint="eastAsia" w:ascii="宋体" w:hAnsi="宋体" w:cs="宋体"/>
                <w:color w:val="000000"/>
                <w:szCs w:val="21"/>
              </w:rPr>
            </w:pPr>
          </w:p>
        </w:tc>
      </w:tr>
      <w:tr w14:paraId="6078A7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511" w:type="pct"/>
            <w:vMerge w:val="continue"/>
            <w:noWrap w:val="0"/>
            <w:vAlign w:val="center"/>
          </w:tcPr>
          <w:p w14:paraId="78405123">
            <w:pPr>
              <w:rPr>
                <w:rFonts w:hint="eastAsia" w:ascii="宋体" w:hAnsi="宋体" w:cs="宋体"/>
                <w:color w:val="000000"/>
                <w:szCs w:val="21"/>
              </w:rPr>
            </w:pPr>
          </w:p>
        </w:tc>
        <w:tc>
          <w:tcPr>
            <w:tcW w:w="206" w:type="pct"/>
            <w:noWrap w:val="0"/>
            <w:vAlign w:val="center"/>
          </w:tcPr>
          <w:p w14:paraId="724F4D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995" w:type="pct"/>
            <w:noWrap w:val="0"/>
            <w:vAlign w:val="center"/>
          </w:tcPr>
          <w:p w14:paraId="346D530B">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悬挂工伤保险就医流程图或指南。（2分）</w:t>
            </w:r>
          </w:p>
        </w:tc>
        <w:tc>
          <w:tcPr>
            <w:tcW w:w="1891" w:type="pct"/>
            <w:noWrap w:val="0"/>
            <w:vAlign w:val="center"/>
          </w:tcPr>
          <w:p w14:paraId="26C6A20B">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悬挂位置明显的，得2分；悬挂位置不明显的，得1分；未悬挂不得分</w:t>
            </w:r>
          </w:p>
        </w:tc>
        <w:tc>
          <w:tcPr>
            <w:tcW w:w="393" w:type="pct"/>
            <w:noWrap w:val="0"/>
            <w:vAlign w:val="center"/>
          </w:tcPr>
          <w:p w14:paraId="06251A38">
            <w:pPr>
              <w:widowControl/>
              <w:spacing w:line="260" w:lineRule="exact"/>
              <w:jc w:val="center"/>
              <w:rPr>
                <w:rFonts w:hint="eastAsia" w:ascii="宋体" w:hAnsi="宋体" w:cs="宋体"/>
                <w:color w:val="000000"/>
                <w:szCs w:val="21"/>
              </w:rPr>
            </w:pPr>
          </w:p>
        </w:tc>
      </w:tr>
      <w:tr w14:paraId="597332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511" w:type="pct"/>
            <w:vMerge w:val="continue"/>
            <w:noWrap w:val="0"/>
            <w:vAlign w:val="center"/>
          </w:tcPr>
          <w:p w14:paraId="5EC11C90">
            <w:pPr>
              <w:rPr>
                <w:rFonts w:hint="eastAsia" w:ascii="宋体" w:hAnsi="宋体" w:cs="宋体"/>
                <w:color w:val="000000"/>
                <w:szCs w:val="21"/>
              </w:rPr>
            </w:pPr>
          </w:p>
        </w:tc>
        <w:tc>
          <w:tcPr>
            <w:tcW w:w="206" w:type="pct"/>
            <w:noWrap w:val="0"/>
            <w:vAlign w:val="center"/>
          </w:tcPr>
          <w:p w14:paraId="0AAE8D1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995" w:type="pct"/>
            <w:noWrap w:val="0"/>
            <w:vAlign w:val="center"/>
          </w:tcPr>
          <w:p w14:paraId="4B190937">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在显著位置公布医疗服务项目及药品价格相关信息。（2分）</w:t>
            </w:r>
          </w:p>
        </w:tc>
        <w:tc>
          <w:tcPr>
            <w:tcW w:w="1891" w:type="pct"/>
            <w:noWrap w:val="0"/>
            <w:vAlign w:val="center"/>
          </w:tcPr>
          <w:p w14:paraId="53C8AEE5">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显著位置公布得2分；公布位置不明显的，得1分；未公布不得分</w:t>
            </w:r>
          </w:p>
        </w:tc>
        <w:tc>
          <w:tcPr>
            <w:tcW w:w="393" w:type="pct"/>
            <w:noWrap w:val="0"/>
            <w:vAlign w:val="center"/>
          </w:tcPr>
          <w:p w14:paraId="5E13E8F2">
            <w:pPr>
              <w:widowControl/>
              <w:spacing w:line="260" w:lineRule="exact"/>
              <w:jc w:val="center"/>
              <w:rPr>
                <w:rFonts w:hint="eastAsia" w:ascii="宋体" w:hAnsi="宋体" w:cs="宋体"/>
                <w:color w:val="000000"/>
                <w:szCs w:val="21"/>
              </w:rPr>
            </w:pPr>
          </w:p>
        </w:tc>
      </w:tr>
      <w:tr w14:paraId="3613D2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511" w:type="pct"/>
            <w:vMerge w:val="continue"/>
            <w:noWrap w:val="0"/>
            <w:vAlign w:val="center"/>
          </w:tcPr>
          <w:p w14:paraId="47CEEACF">
            <w:pPr>
              <w:rPr>
                <w:rFonts w:hint="eastAsia" w:ascii="宋体" w:hAnsi="宋体" w:cs="宋体"/>
                <w:color w:val="000000"/>
                <w:szCs w:val="21"/>
              </w:rPr>
            </w:pPr>
          </w:p>
        </w:tc>
        <w:tc>
          <w:tcPr>
            <w:tcW w:w="206" w:type="pct"/>
            <w:noWrap w:val="0"/>
            <w:vAlign w:val="center"/>
          </w:tcPr>
          <w:p w14:paraId="434E165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995" w:type="pct"/>
            <w:noWrap w:val="0"/>
            <w:vAlign w:val="center"/>
          </w:tcPr>
          <w:p w14:paraId="59389E40">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制定有关工伤保险药品、医用耗材管理制度。（2分）</w:t>
            </w:r>
          </w:p>
        </w:tc>
        <w:tc>
          <w:tcPr>
            <w:tcW w:w="1891" w:type="pct"/>
            <w:noWrap w:val="0"/>
            <w:vAlign w:val="center"/>
          </w:tcPr>
          <w:p w14:paraId="035EB9B8">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每落实一项制度得1分</w:t>
            </w:r>
          </w:p>
        </w:tc>
        <w:tc>
          <w:tcPr>
            <w:tcW w:w="393" w:type="pct"/>
            <w:noWrap w:val="0"/>
            <w:vAlign w:val="center"/>
          </w:tcPr>
          <w:p w14:paraId="05685BD5">
            <w:pPr>
              <w:widowControl/>
              <w:spacing w:line="260" w:lineRule="exact"/>
              <w:jc w:val="center"/>
              <w:rPr>
                <w:rFonts w:hint="eastAsia" w:ascii="宋体" w:hAnsi="宋体" w:cs="宋体"/>
                <w:color w:val="000000"/>
                <w:szCs w:val="21"/>
              </w:rPr>
            </w:pPr>
          </w:p>
        </w:tc>
      </w:tr>
      <w:tr w14:paraId="70972F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511" w:type="pct"/>
            <w:vMerge w:val="continue"/>
            <w:noWrap w:val="0"/>
            <w:vAlign w:val="center"/>
          </w:tcPr>
          <w:p w14:paraId="51174957">
            <w:pPr>
              <w:rPr>
                <w:rFonts w:hint="eastAsia" w:ascii="宋体" w:hAnsi="宋体" w:cs="宋体"/>
                <w:color w:val="000000"/>
                <w:szCs w:val="21"/>
              </w:rPr>
            </w:pPr>
          </w:p>
        </w:tc>
        <w:tc>
          <w:tcPr>
            <w:tcW w:w="206" w:type="pct"/>
            <w:noWrap w:val="0"/>
            <w:vAlign w:val="center"/>
          </w:tcPr>
          <w:p w14:paraId="2EB0648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7</w:t>
            </w:r>
          </w:p>
        </w:tc>
        <w:tc>
          <w:tcPr>
            <w:tcW w:w="1995" w:type="pct"/>
            <w:noWrap w:val="0"/>
            <w:vAlign w:val="center"/>
          </w:tcPr>
          <w:p w14:paraId="18422B32">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积极参加工伤保险经办机构组织开展的培训，定期开展工伤保险相关政策培训，组织形式多样的工伤保险法律法规政策宣传。（2分）</w:t>
            </w:r>
          </w:p>
        </w:tc>
        <w:tc>
          <w:tcPr>
            <w:tcW w:w="1891" w:type="pct"/>
            <w:noWrap w:val="0"/>
            <w:vAlign w:val="center"/>
          </w:tcPr>
          <w:p w14:paraId="31584524">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查看培训记录及宣传材料，未开展培训的，扣1分；现场抽查了解政策情况，发现问题未落实的，扣1分</w:t>
            </w:r>
          </w:p>
        </w:tc>
        <w:tc>
          <w:tcPr>
            <w:tcW w:w="393" w:type="pct"/>
            <w:noWrap w:val="0"/>
            <w:vAlign w:val="center"/>
          </w:tcPr>
          <w:p w14:paraId="6FBCA543">
            <w:pPr>
              <w:widowControl/>
              <w:spacing w:line="260" w:lineRule="exact"/>
              <w:jc w:val="center"/>
              <w:rPr>
                <w:rFonts w:hint="eastAsia" w:ascii="宋体" w:hAnsi="宋体" w:cs="宋体"/>
                <w:color w:val="000000"/>
                <w:szCs w:val="21"/>
              </w:rPr>
            </w:pPr>
          </w:p>
        </w:tc>
      </w:tr>
      <w:tr w14:paraId="636081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511" w:type="pct"/>
            <w:vMerge w:val="continue"/>
            <w:noWrap w:val="0"/>
            <w:vAlign w:val="center"/>
          </w:tcPr>
          <w:p w14:paraId="07049DF9">
            <w:pPr>
              <w:rPr>
                <w:rFonts w:hint="eastAsia" w:ascii="宋体" w:hAnsi="宋体" w:cs="宋体"/>
                <w:color w:val="000000"/>
                <w:szCs w:val="21"/>
              </w:rPr>
            </w:pPr>
          </w:p>
        </w:tc>
        <w:tc>
          <w:tcPr>
            <w:tcW w:w="206" w:type="pct"/>
            <w:noWrap w:val="0"/>
            <w:vAlign w:val="center"/>
          </w:tcPr>
          <w:p w14:paraId="1A1E1ED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995" w:type="pct"/>
            <w:noWrap w:val="0"/>
            <w:vAlign w:val="center"/>
          </w:tcPr>
          <w:p w14:paraId="2D7E108A">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公布监督投诉电话，及时处理工伤管理方面的投诉、举报、信访，接受参保人员和社会监督。（2分）</w:t>
            </w:r>
          </w:p>
        </w:tc>
        <w:tc>
          <w:tcPr>
            <w:tcW w:w="1891" w:type="pct"/>
            <w:noWrap w:val="0"/>
            <w:vAlign w:val="center"/>
          </w:tcPr>
          <w:p w14:paraId="585A5B37">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查看工作记录，每发现一项未落实的，扣1分</w:t>
            </w:r>
          </w:p>
        </w:tc>
        <w:tc>
          <w:tcPr>
            <w:tcW w:w="393" w:type="pct"/>
            <w:noWrap w:val="0"/>
            <w:vAlign w:val="center"/>
          </w:tcPr>
          <w:p w14:paraId="728E5FE0">
            <w:pPr>
              <w:widowControl/>
              <w:spacing w:line="260" w:lineRule="exact"/>
              <w:jc w:val="center"/>
              <w:rPr>
                <w:rFonts w:hint="eastAsia" w:ascii="宋体" w:hAnsi="宋体" w:cs="宋体"/>
                <w:color w:val="000000"/>
                <w:szCs w:val="21"/>
              </w:rPr>
            </w:pPr>
          </w:p>
        </w:tc>
      </w:tr>
      <w:tr w14:paraId="1F391B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511" w:type="pct"/>
            <w:vMerge w:val="continue"/>
            <w:noWrap w:val="0"/>
            <w:vAlign w:val="center"/>
          </w:tcPr>
          <w:p w14:paraId="01B979EC">
            <w:pPr>
              <w:rPr>
                <w:rFonts w:hint="eastAsia" w:ascii="宋体" w:hAnsi="宋体" w:cs="宋体"/>
                <w:color w:val="000000"/>
                <w:szCs w:val="21"/>
              </w:rPr>
            </w:pPr>
          </w:p>
        </w:tc>
        <w:tc>
          <w:tcPr>
            <w:tcW w:w="206" w:type="pct"/>
            <w:noWrap w:val="0"/>
            <w:vAlign w:val="center"/>
          </w:tcPr>
          <w:p w14:paraId="6CE0652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995" w:type="pct"/>
            <w:noWrap w:val="0"/>
            <w:vAlign w:val="center"/>
          </w:tcPr>
          <w:p w14:paraId="7B4A6674">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符合工伤医疗服务质量管理基本要求。（2分）</w:t>
            </w:r>
          </w:p>
        </w:tc>
        <w:tc>
          <w:tcPr>
            <w:tcW w:w="1891" w:type="pct"/>
            <w:noWrap w:val="0"/>
            <w:vAlign w:val="center"/>
          </w:tcPr>
          <w:p w14:paraId="098B350C">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服务协议、工伤医疗相关文件、报销资料等妥善保管的，得2分；未妥善保管的，不得分</w:t>
            </w:r>
          </w:p>
        </w:tc>
        <w:tc>
          <w:tcPr>
            <w:tcW w:w="393" w:type="pct"/>
            <w:noWrap w:val="0"/>
            <w:vAlign w:val="center"/>
          </w:tcPr>
          <w:p w14:paraId="36C416FB">
            <w:pPr>
              <w:widowControl/>
              <w:spacing w:line="260" w:lineRule="exact"/>
              <w:jc w:val="center"/>
              <w:rPr>
                <w:rFonts w:hint="eastAsia" w:ascii="宋体" w:hAnsi="宋体" w:cs="宋体"/>
                <w:color w:val="000000"/>
                <w:szCs w:val="21"/>
              </w:rPr>
            </w:pPr>
          </w:p>
        </w:tc>
      </w:tr>
      <w:tr w14:paraId="059ED7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511" w:type="pct"/>
            <w:vMerge w:val="continue"/>
            <w:noWrap w:val="0"/>
            <w:vAlign w:val="center"/>
          </w:tcPr>
          <w:p w14:paraId="46AC7104">
            <w:pPr>
              <w:rPr>
                <w:rFonts w:hint="eastAsia" w:ascii="宋体" w:hAnsi="宋体" w:cs="宋体"/>
                <w:color w:val="000000"/>
                <w:szCs w:val="21"/>
              </w:rPr>
            </w:pPr>
          </w:p>
        </w:tc>
        <w:tc>
          <w:tcPr>
            <w:tcW w:w="206" w:type="pct"/>
            <w:noWrap w:val="0"/>
            <w:vAlign w:val="center"/>
          </w:tcPr>
          <w:p w14:paraId="6A1EDE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995" w:type="pct"/>
            <w:noWrap w:val="0"/>
            <w:vAlign w:val="center"/>
          </w:tcPr>
          <w:p w14:paraId="01AC323E">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工伤医疗档案资料管理规范。（2分）</w:t>
            </w:r>
          </w:p>
        </w:tc>
        <w:tc>
          <w:tcPr>
            <w:tcW w:w="1891" w:type="pct"/>
            <w:noWrap w:val="0"/>
            <w:vAlign w:val="center"/>
          </w:tcPr>
          <w:p w14:paraId="54E2F74A">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档案材料规范的，得2分；比较规范的，得1分；未归档不得分</w:t>
            </w:r>
          </w:p>
        </w:tc>
        <w:tc>
          <w:tcPr>
            <w:tcW w:w="393" w:type="pct"/>
            <w:noWrap w:val="0"/>
            <w:vAlign w:val="center"/>
          </w:tcPr>
          <w:p w14:paraId="20C58B88">
            <w:pPr>
              <w:widowControl/>
              <w:spacing w:line="260" w:lineRule="exact"/>
              <w:jc w:val="center"/>
              <w:rPr>
                <w:rFonts w:hint="eastAsia" w:ascii="宋体" w:hAnsi="宋体" w:cs="宋体"/>
                <w:color w:val="000000"/>
                <w:szCs w:val="21"/>
              </w:rPr>
            </w:pPr>
          </w:p>
        </w:tc>
      </w:tr>
      <w:tr w14:paraId="3962DD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5" w:hRule="atLeast"/>
          <w:jc w:val="center"/>
        </w:trPr>
        <w:tc>
          <w:tcPr>
            <w:tcW w:w="511" w:type="pct"/>
            <w:vMerge w:val="restart"/>
            <w:noWrap w:val="0"/>
            <w:vAlign w:val="center"/>
          </w:tcPr>
          <w:p w14:paraId="0F6D83F5">
            <w:pPr>
              <w:widowControl/>
              <w:spacing w:line="300" w:lineRule="exact"/>
              <w:textAlignment w:val="center"/>
              <w:rPr>
                <w:rFonts w:hint="eastAsia" w:ascii="宋体" w:hAnsi="宋体" w:cs="宋体"/>
                <w:color w:val="000000"/>
                <w:szCs w:val="21"/>
              </w:rPr>
            </w:pPr>
            <w:r>
              <w:rPr>
                <w:rFonts w:hint="eastAsia" w:ascii="宋体" w:hAnsi="宋体" w:cs="宋体"/>
                <w:color w:val="000000"/>
                <w:kern w:val="0"/>
                <w:szCs w:val="21"/>
                <w:lang w:bidi="ar"/>
              </w:rPr>
              <w:t>二、就医管理（28分）</w:t>
            </w:r>
          </w:p>
        </w:tc>
        <w:tc>
          <w:tcPr>
            <w:tcW w:w="206" w:type="pct"/>
            <w:noWrap w:val="0"/>
            <w:vAlign w:val="center"/>
          </w:tcPr>
          <w:p w14:paraId="4846FCF7">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11</w:t>
            </w:r>
          </w:p>
        </w:tc>
        <w:tc>
          <w:tcPr>
            <w:tcW w:w="1995" w:type="pct"/>
            <w:noWrap w:val="0"/>
            <w:vAlign w:val="center"/>
          </w:tcPr>
          <w:p w14:paraId="27EC53CD">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合理检查、合理治疗、合规收费；不得串换项目；不允许以工伤治疗名义进行体检及处方用药。（2分）</w:t>
            </w:r>
          </w:p>
        </w:tc>
        <w:tc>
          <w:tcPr>
            <w:tcW w:w="1891" w:type="pct"/>
            <w:noWrap w:val="0"/>
            <w:vAlign w:val="center"/>
          </w:tcPr>
          <w:p w14:paraId="1DEAB312">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根据年度病历审核情况，按照拒付率核定，拒付率超过5%的，不得分</w:t>
            </w:r>
          </w:p>
        </w:tc>
        <w:tc>
          <w:tcPr>
            <w:tcW w:w="393" w:type="pct"/>
            <w:noWrap w:val="0"/>
            <w:vAlign w:val="center"/>
          </w:tcPr>
          <w:p w14:paraId="4B9F3BA8">
            <w:pPr>
              <w:widowControl/>
              <w:spacing w:line="300" w:lineRule="exact"/>
              <w:jc w:val="center"/>
              <w:rPr>
                <w:rFonts w:hint="eastAsia" w:ascii="宋体" w:hAnsi="宋体" w:cs="宋体"/>
                <w:color w:val="000000"/>
                <w:szCs w:val="21"/>
              </w:rPr>
            </w:pPr>
          </w:p>
        </w:tc>
      </w:tr>
      <w:tr w14:paraId="12ABF3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511" w:type="pct"/>
            <w:vMerge w:val="continue"/>
            <w:noWrap w:val="0"/>
            <w:vAlign w:val="center"/>
          </w:tcPr>
          <w:p w14:paraId="0B323DC4">
            <w:pPr>
              <w:widowControl/>
              <w:spacing w:line="300" w:lineRule="exact"/>
              <w:rPr>
                <w:rFonts w:hint="eastAsia" w:ascii="宋体" w:hAnsi="宋体" w:cs="宋体"/>
                <w:color w:val="000000"/>
                <w:szCs w:val="21"/>
              </w:rPr>
            </w:pPr>
          </w:p>
        </w:tc>
        <w:tc>
          <w:tcPr>
            <w:tcW w:w="206" w:type="pct"/>
            <w:noWrap w:val="0"/>
            <w:vAlign w:val="center"/>
          </w:tcPr>
          <w:p w14:paraId="71667195">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12</w:t>
            </w:r>
          </w:p>
        </w:tc>
        <w:tc>
          <w:tcPr>
            <w:tcW w:w="1995" w:type="pct"/>
            <w:noWrap w:val="0"/>
            <w:vAlign w:val="center"/>
          </w:tcPr>
          <w:p w14:paraId="0386A729">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严格执行先审批后住院要求，因急诊先住院后审批的要求手续齐全，材料真实；认真核验工伤人员社会保障卡，做到人证相符（2分）</w:t>
            </w:r>
          </w:p>
        </w:tc>
        <w:tc>
          <w:tcPr>
            <w:tcW w:w="1891" w:type="pct"/>
            <w:noWrap w:val="0"/>
            <w:vAlign w:val="center"/>
          </w:tcPr>
          <w:p w14:paraId="3478FCF5">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查验住院审批手续，查看急诊材料的真实性，发现一项手续不全的，扣1分</w:t>
            </w:r>
          </w:p>
        </w:tc>
        <w:tc>
          <w:tcPr>
            <w:tcW w:w="393" w:type="pct"/>
            <w:noWrap w:val="0"/>
            <w:vAlign w:val="center"/>
          </w:tcPr>
          <w:p w14:paraId="3CBD1250">
            <w:pPr>
              <w:widowControl/>
              <w:spacing w:line="300" w:lineRule="exact"/>
              <w:jc w:val="center"/>
              <w:rPr>
                <w:rFonts w:hint="eastAsia" w:ascii="宋体" w:hAnsi="宋体" w:cs="宋体"/>
                <w:color w:val="000000"/>
                <w:szCs w:val="21"/>
              </w:rPr>
            </w:pPr>
          </w:p>
        </w:tc>
      </w:tr>
      <w:tr w14:paraId="6395D0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511" w:type="pct"/>
            <w:vMerge w:val="continue"/>
            <w:noWrap w:val="0"/>
            <w:vAlign w:val="center"/>
          </w:tcPr>
          <w:p w14:paraId="65F5E6B0">
            <w:pPr>
              <w:widowControl/>
              <w:spacing w:line="300" w:lineRule="exact"/>
              <w:rPr>
                <w:rFonts w:hint="eastAsia" w:ascii="宋体" w:hAnsi="宋体" w:cs="宋体"/>
                <w:color w:val="000000"/>
                <w:szCs w:val="21"/>
              </w:rPr>
            </w:pPr>
          </w:p>
        </w:tc>
        <w:tc>
          <w:tcPr>
            <w:tcW w:w="206" w:type="pct"/>
            <w:noWrap w:val="0"/>
            <w:vAlign w:val="center"/>
          </w:tcPr>
          <w:p w14:paraId="0841322F">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13</w:t>
            </w:r>
          </w:p>
        </w:tc>
        <w:tc>
          <w:tcPr>
            <w:tcW w:w="1995" w:type="pct"/>
            <w:noWrap w:val="0"/>
            <w:vAlign w:val="center"/>
          </w:tcPr>
          <w:p w14:paraId="0B628B3D">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严格执行入院、出院审批标准；严格执行重症监护病房标准收治病人。（2分）</w:t>
            </w:r>
          </w:p>
        </w:tc>
        <w:tc>
          <w:tcPr>
            <w:tcW w:w="1891" w:type="pct"/>
            <w:noWrap w:val="0"/>
            <w:vAlign w:val="center"/>
          </w:tcPr>
          <w:p w14:paraId="3185E24A">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现场查看工伤职工在院情况，抽查病历和入院、出院登记信息，随访工伤人员，每发现一例问题，扣1分</w:t>
            </w:r>
          </w:p>
        </w:tc>
        <w:tc>
          <w:tcPr>
            <w:tcW w:w="393" w:type="pct"/>
            <w:noWrap w:val="0"/>
            <w:vAlign w:val="center"/>
          </w:tcPr>
          <w:p w14:paraId="181F02D8">
            <w:pPr>
              <w:widowControl/>
              <w:spacing w:line="300" w:lineRule="exact"/>
              <w:jc w:val="center"/>
              <w:rPr>
                <w:rFonts w:hint="eastAsia" w:ascii="宋体" w:hAnsi="宋体" w:cs="宋体"/>
                <w:color w:val="000000"/>
                <w:szCs w:val="21"/>
              </w:rPr>
            </w:pPr>
          </w:p>
        </w:tc>
      </w:tr>
      <w:tr w14:paraId="1598B3D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4" w:hRule="atLeast"/>
          <w:jc w:val="center"/>
        </w:trPr>
        <w:tc>
          <w:tcPr>
            <w:tcW w:w="511" w:type="pct"/>
            <w:vMerge w:val="continue"/>
            <w:noWrap w:val="0"/>
            <w:vAlign w:val="center"/>
          </w:tcPr>
          <w:p w14:paraId="2E5B03C3">
            <w:pPr>
              <w:widowControl/>
              <w:spacing w:line="300" w:lineRule="exact"/>
              <w:rPr>
                <w:rFonts w:hint="eastAsia" w:ascii="宋体" w:hAnsi="宋体" w:cs="宋体"/>
                <w:color w:val="000000"/>
                <w:szCs w:val="21"/>
              </w:rPr>
            </w:pPr>
          </w:p>
        </w:tc>
        <w:tc>
          <w:tcPr>
            <w:tcW w:w="206" w:type="pct"/>
            <w:noWrap w:val="0"/>
            <w:vAlign w:val="center"/>
          </w:tcPr>
          <w:p w14:paraId="01CA44D2">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14</w:t>
            </w:r>
          </w:p>
        </w:tc>
        <w:tc>
          <w:tcPr>
            <w:tcW w:w="1995" w:type="pct"/>
            <w:noWrap w:val="0"/>
            <w:vAlign w:val="center"/>
          </w:tcPr>
          <w:p w14:paraId="5DC5D63D">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严格依据工伤保险医疗相关规定进行器官移植、关节置换及烧伤等特殊治疗。（2分）</w:t>
            </w:r>
          </w:p>
        </w:tc>
        <w:tc>
          <w:tcPr>
            <w:tcW w:w="1891" w:type="pct"/>
            <w:noWrap w:val="0"/>
            <w:vAlign w:val="center"/>
          </w:tcPr>
          <w:p w14:paraId="43546B60">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现场抽查病历、处方，病历记载和药品通用名标注、用量等不规范的，每发现一例问题，扣1分</w:t>
            </w:r>
          </w:p>
        </w:tc>
        <w:tc>
          <w:tcPr>
            <w:tcW w:w="393" w:type="pct"/>
            <w:noWrap w:val="0"/>
            <w:vAlign w:val="center"/>
          </w:tcPr>
          <w:p w14:paraId="6945F8C2">
            <w:pPr>
              <w:widowControl/>
              <w:spacing w:line="300" w:lineRule="exact"/>
              <w:jc w:val="center"/>
              <w:rPr>
                <w:rFonts w:hint="eastAsia" w:ascii="宋体" w:hAnsi="宋体" w:cs="宋体"/>
                <w:color w:val="000000"/>
                <w:szCs w:val="21"/>
              </w:rPr>
            </w:pPr>
          </w:p>
        </w:tc>
      </w:tr>
      <w:tr w14:paraId="5BB7F2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511" w:type="pct"/>
            <w:vMerge w:val="continue"/>
            <w:noWrap w:val="0"/>
            <w:vAlign w:val="center"/>
          </w:tcPr>
          <w:p w14:paraId="1635E68B">
            <w:pPr>
              <w:widowControl/>
              <w:spacing w:line="300" w:lineRule="exact"/>
              <w:rPr>
                <w:rFonts w:hint="eastAsia" w:ascii="宋体" w:hAnsi="宋体" w:cs="宋体"/>
                <w:color w:val="000000"/>
                <w:szCs w:val="21"/>
              </w:rPr>
            </w:pPr>
          </w:p>
        </w:tc>
        <w:tc>
          <w:tcPr>
            <w:tcW w:w="206" w:type="pct"/>
            <w:noWrap w:val="0"/>
            <w:vAlign w:val="center"/>
          </w:tcPr>
          <w:p w14:paraId="00224F9A">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15</w:t>
            </w:r>
          </w:p>
        </w:tc>
        <w:tc>
          <w:tcPr>
            <w:tcW w:w="1995" w:type="pct"/>
            <w:noWrap w:val="0"/>
            <w:vAlign w:val="center"/>
          </w:tcPr>
          <w:p w14:paraId="6A2B3792">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限制性用药应符合工伤部位、适应症，做到伤、病区分，在支付范围内合理用药。（2分）</w:t>
            </w:r>
          </w:p>
        </w:tc>
        <w:tc>
          <w:tcPr>
            <w:tcW w:w="1891" w:type="pct"/>
            <w:noWrap w:val="0"/>
            <w:vAlign w:val="center"/>
          </w:tcPr>
          <w:p w14:paraId="1427FBC7">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现场抽查病历、处方，不符合限制性用药规定，病历记载和药品通用名标注、用量等不规范的，没有做到伤、病区分治疗，每发现一例问题，扣1分</w:t>
            </w:r>
          </w:p>
        </w:tc>
        <w:tc>
          <w:tcPr>
            <w:tcW w:w="393" w:type="pct"/>
            <w:noWrap w:val="0"/>
            <w:vAlign w:val="center"/>
          </w:tcPr>
          <w:p w14:paraId="62DC8442">
            <w:pPr>
              <w:widowControl/>
              <w:spacing w:line="300" w:lineRule="exact"/>
              <w:jc w:val="center"/>
              <w:rPr>
                <w:rFonts w:hint="eastAsia" w:ascii="宋体" w:hAnsi="宋体" w:cs="宋体"/>
                <w:color w:val="000000"/>
                <w:szCs w:val="21"/>
              </w:rPr>
            </w:pPr>
          </w:p>
        </w:tc>
      </w:tr>
      <w:tr w14:paraId="25AFA2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511" w:type="pct"/>
            <w:vMerge w:val="continue"/>
            <w:noWrap w:val="0"/>
            <w:vAlign w:val="center"/>
          </w:tcPr>
          <w:p w14:paraId="7428E642">
            <w:pPr>
              <w:widowControl/>
              <w:spacing w:line="300" w:lineRule="exact"/>
              <w:rPr>
                <w:rFonts w:hint="eastAsia" w:ascii="宋体" w:hAnsi="宋体" w:cs="宋体"/>
                <w:color w:val="000000"/>
                <w:szCs w:val="21"/>
              </w:rPr>
            </w:pPr>
          </w:p>
        </w:tc>
        <w:tc>
          <w:tcPr>
            <w:tcW w:w="206" w:type="pct"/>
            <w:noWrap w:val="0"/>
            <w:vAlign w:val="center"/>
          </w:tcPr>
          <w:p w14:paraId="4D6D3A81">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16</w:t>
            </w:r>
          </w:p>
        </w:tc>
        <w:tc>
          <w:tcPr>
            <w:tcW w:w="1995" w:type="pct"/>
            <w:noWrap w:val="0"/>
            <w:vAlign w:val="center"/>
          </w:tcPr>
          <w:p w14:paraId="435D4274">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住院（门诊）票据、费用清单、处方、医嘱、检查结果、诊断及病程记录相吻合，并符合工伤部位实际诊疗需要。（2分）</w:t>
            </w:r>
          </w:p>
        </w:tc>
        <w:tc>
          <w:tcPr>
            <w:tcW w:w="1891" w:type="pct"/>
            <w:noWrap w:val="0"/>
            <w:vAlign w:val="center"/>
          </w:tcPr>
          <w:p w14:paraId="468DD5D7">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现场抽查病历、处方，病历记载和药品通用名标注、用量等不规范的，每发现一例问题，扣1分</w:t>
            </w:r>
          </w:p>
        </w:tc>
        <w:tc>
          <w:tcPr>
            <w:tcW w:w="393" w:type="pct"/>
            <w:noWrap w:val="0"/>
            <w:vAlign w:val="center"/>
          </w:tcPr>
          <w:p w14:paraId="7373B071">
            <w:pPr>
              <w:widowControl/>
              <w:spacing w:line="300" w:lineRule="exact"/>
              <w:jc w:val="center"/>
              <w:rPr>
                <w:rFonts w:hint="eastAsia" w:ascii="宋体" w:hAnsi="宋体" w:cs="宋体"/>
                <w:color w:val="000000"/>
                <w:szCs w:val="21"/>
              </w:rPr>
            </w:pPr>
          </w:p>
        </w:tc>
      </w:tr>
      <w:tr w14:paraId="31DBC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70" w:hRule="atLeast"/>
          <w:jc w:val="center"/>
        </w:trPr>
        <w:tc>
          <w:tcPr>
            <w:tcW w:w="511" w:type="pct"/>
            <w:vMerge w:val="continue"/>
            <w:noWrap w:val="0"/>
            <w:vAlign w:val="center"/>
          </w:tcPr>
          <w:p w14:paraId="665275D8">
            <w:pPr>
              <w:widowControl/>
              <w:spacing w:line="300" w:lineRule="exact"/>
              <w:rPr>
                <w:rFonts w:hint="eastAsia" w:ascii="宋体" w:hAnsi="宋体" w:cs="宋体"/>
                <w:color w:val="000000"/>
                <w:szCs w:val="21"/>
              </w:rPr>
            </w:pPr>
          </w:p>
        </w:tc>
        <w:tc>
          <w:tcPr>
            <w:tcW w:w="206" w:type="pct"/>
            <w:noWrap w:val="0"/>
            <w:vAlign w:val="center"/>
          </w:tcPr>
          <w:p w14:paraId="7EDA2796">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17</w:t>
            </w:r>
          </w:p>
        </w:tc>
        <w:tc>
          <w:tcPr>
            <w:tcW w:w="1995" w:type="pct"/>
            <w:noWrap w:val="0"/>
            <w:vAlign w:val="center"/>
          </w:tcPr>
          <w:p w14:paraId="482E6760">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严格按照工伤保险相关规定，依据转院转科标准办理转诊手续。（2分）</w:t>
            </w:r>
          </w:p>
        </w:tc>
        <w:tc>
          <w:tcPr>
            <w:tcW w:w="1891" w:type="pct"/>
            <w:noWrap w:val="0"/>
            <w:vAlign w:val="center"/>
          </w:tcPr>
          <w:p w14:paraId="736E5FD6">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查看转诊记录，发现有不符合条件的，每发现一例问题，扣1分</w:t>
            </w:r>
          </w:p>
        </w:tc>
        <w:tc>
          <w:tcPr>
            <w:tcW w:w="393" w:type="pct"/>
            <w:noWrap w:val="0"/>
            <w:vAlign w:val="center"/>
          </w:tcPr>
          <w:p w14:paraId="017419AB">
            <w:pPr>
              <w:widowControl/>
              <w:spacing w:line="300" w:lineRule="exact"/>
              <w:jc w:val="center"/>
              <w:rPr>
                <w:rFonts w:hint="eastAsia" w:ascii="宋体" w:hAnsi="宋体" w:cs="宋体"/>
                <w:color w:val="000000"/>
                <w:szCs w:val="21"/>
              </w:rPr>
            </w:pPr>
          </w:p>
        </w:tc>
      </w:tr>
      <w:tr w14:paraId="6B8921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511" w:type="pct"/>
            <w:vMerge w:val="continue"/>
            <w:noWrap w:val="0"/>
            <w:vAlign w:val="center"/>
          </w:tcPr>
          <w:p w14:paraId="02E5F254">
            <w:pPr>
              <w:widowControl/>
              <w:spacing w:line="300" w:lineRule="exact"/>
              <w:rPr>
                <w:rFonts w:hint="eastAsia" w:ascii="宋体" w:hAnsi="宋体" w:cs="宋体"/>
                <w:color w:val="000000"/>
                <w:szCs w:val="21"/>
              </w:rPr>
            </w:pPr>
          </w:p>
        </w:tc>
        <w:tc>
          <w:tcPr>
            <w:tcW w:w="206" w:type="pct"/>
            <w:noWrap w:val="0"/>
            <w:vAlign w:val="center"/>
          </w:tcPr>
          <w:p w14:paraId="69823AB0">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18</w:t>
            </w:r>
          </w:p>
        </w:tc>
        <w:tc>
          <w:tcPr>
            <w:tcW w:w="1995" w:type="pct"/>
            <w:noWrap w:val="0"/>
            <w:vAlign w:val="center"/>
          </w:tcPr>
          <w:p w14:paraId="428ECAE8">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按规定提供门诊、住院费用结算清单和住院日费用清单，个人自费部分须经参保工伤人员或其近亲属、监护人员签字同意确认（急诊、抢救等特殊情况除外）。 （2分）</w:t>
            </w:r>
          </w:p>
        </w:tc>
        <w:tc>
          <w:tcPr>
            <w:tcW w:w="1891" w:type="pct"/>
            <w:noWrap w:val="0"/>
            <w:vAlign w:val="center"/>
          </w:tcPr>
          <w:p w14:paraId="741C0C1B">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抽查病历，随访工伤人员和家属，每发现一项问题，扣1分</w:t>
            </w:r>
          </w:p>
        </w:tc>
        <w:tc>
          <w:tcPr>
            <w:tcW w:w="393" w:type="pct"/>
            <w:noWrap w:val="0"/>
            <w:vAlign w:val="center"/>
          </w:tcPr>
          <w:p w14:paraId="1A0DBA02">
            <w:pPr>
              <w:widowControl/>
              <w:spacing w:line="300" w:lineRule="exact"/>
              <w:jc w:val="center"/>
              <w:rPr>
                <w:rFonts w:hint="eastAsia" w:ascii="宋体" w:hAnsi="宋体" w:cs="宋体"/>
                <w:color w:val="000000"/>
                <w:szCs w:val="21"/>
              </w:rPr>
            </w:pPr>
          </w:p>
        </w:tc>
      </w:tr>
      <w:tr w14:paraId="67E883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81" w:hRule="atLeast"/>
          <w:jc w:val="center"/>
        </w:trPr>
        <w:tc>
          <w:tcPr>
            <w:tcW w:w="511" w:type="pct"/>
            <w:vMerge w:val="restart"/>
            <w:noWrap w:val="0"/>
            <w:vAlign w:val="center"/>
          </w:tcPr>
          <w:p w14:paraId="4BB8C6E3">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二、就医管理（28分）</w:t>
            </w:r>
          </w:p>
        </w:tc>
        <w:tc>
          <w:tcPr>
            <w:tcW w:w="206" w:type="pct"/>
            <w:noWrap w:val="0"/>
            <w:vAlign w:val="center"/>
          </w:tcPr>
          <w:p w14:paraId="7ADA2523">
            <w:pPr>
              <w:widowControl/>
              <w:spacing w:line="30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19</w:t>
            </w:r>
          </w:p>
        </w:tc>
        <w:tc>
          <w:tcPr>
            <w:tcW w:w="1995" w:type="pct"/>
            <w:noWrap w:val="0"/>
            <w:vAlign w:val="center"/>
          </w:tcPr>
          <w:p w14:paraId="21B15B8E">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购进、使用、管理药品和医用耗材，留存相关凭证。购进记录应包含通用名称、编码、剂型（型号）、规格、生产厂商（中药材标明产地）、有效期、批准文号、数量、价格、批号、生产日期等信息，确保其使用的可追溯性。（2分）</w:t>
            </w:r>
          </w:p>
        </w:tc>
        <w:tc>
          <w:tcPr>
            <w:tcW w:w="1891" w:type="pct"/>
            <w:noWrap w:val="0"/>
            <w:vAlign w:val="center"/>
          </w:tcPr>
          <w:p w14:paraId="38CB4EF3">
            <w:pPr>
              <w:widowControl/>
              <w:spacing w:line="30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随机抽查，完全符合得2分；不完全符合的，扣1分</w:t>
            </w:r>
          </w:p>
        </w:tc>
        <w:tc>
          <w:tcPr>
            <w:tcW w:w="393" w:type="pct"/>
            <w:noWrap w:val="0"/>
            <w:vAlign w:val="center"/>
          </w:tcPr>
          <w:p w14:paraId="2A0DED52">
            <w:pPr>
              <w:widowControl/>
              <w:spacing w:line="300" w:lineRule="exact"/>
              <w:jc w:val="center"/>
              <w:rPr>
                <w:rFonts w:hint="eastAsia" w:ascii="宋体" w:hAnsi="宋体" w:cs="宋体"/>
                <w:color w:val="000000"/>
                <w:szCs w:val="21"/>
              </w:rPr>
            </w:pPr>
          </w:p>
        </w:tc>
      </w:tr>
      <w:tr w14:paraId="742C63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01" w:hRule="atLeast"/>
          <w:jc w:val="center"/>
        </w:trPr>
        <w:tc>
          <w:tcPr>
            <w:tcW w:w="511" w:type="pct"/>
            <w:vMerge w:val="continue"/>
            <w:noWrap w:val="0"/>
            <w:vAlign w:val="center"/>
          </w:tcPr>
          <w:p w14:paraId="654F97F8">
            <w:pPr>
              <w:widowControl/>
              <w:textAlignment w:val="center"/>
              <w:rPr>
                <w:rFonts w:hint="eastAsia" w:ascii="宋体" w:hAnsi="宋体" w:cs="宋体"/>
                <w:color w:val="000000"/>
                <w:szCs w:val="21"/>
              </w:rPr>
            </w:pPr>
          </w:p>
        </w:tc>
        <w:tc>
          <w:tcPr>
            <w:tcW w:w="206" w:type="pct"/>
            <w:noWrap w:val="0"/>
            <w:vAlign w:val="center"/>
          </w:tcPr>
          <w:p w14:paraId="59F8AE2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20</w:t>
            </w:r>
          </w:p>
        </w:tc>
        <w:tc>
          <w:tcPr>
            <w:tcW w:w="1995" w:type="pct"/>
            <w:noWrap w:val="0"/>
            <w:vAlign w:val="center"/>
          </w:tcPr>
          <w:p w14:paraId="5A512741">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按要求对药品及医用耗材进、销、存运用计算机信息系统管理，电子台账账册清楚、账物相符。（2分）</w:t>
            </w:r>
          </w:p>
        </w:tc>
        <w:tc>
          <w:tcPr>
            <w:tcW w:w="1891" w:type="pct"/>
            <w:noWrap w:val="0"/>
            <w:vAlign w:val="center"/>
          </w:tcPr>
          <w:p w14:paraId="13D4210B">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随机抽查，每发现一例问题，扣1分</w:t>
            </w:r>
          </w:p>
        </w:tc>
        <w:tc>
          <w:tcPr>
            <w:tcW w:w="393" w:type="pct"/>
            <w:noWrap w:val="0"/>
            <w:vAlign w:val="center"/>
          </w:tcPr>
          <w:p w14:paraId="5438C64C">
            <w:pPr>
              <w:jc w:val="center"/>
              <w:rPr>
                <w:rFonts w:hint="eastAsia" w:ascii="宋体" w:hAnsi="宋体" w:cs="宋体"/>
                <w:color w:val="000000"/>
                <w:szCs w:val="21"/>
              </w:rPr>
            </w:pPr>
          </w:p>
        </w:tc>
      </w:tr>
      <w:tr w14:paraId="1D78A6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511" w:type="pct"/>
            <w:vMerge w:val="continue"/>
            <w:noWrap w:val="0"/>
            <w:vAlign w:val="center"/>
          </w:tcPr>
          <w:p w14:paraId="08CE021D">
            <w:pPr>
              <w:rPr>
                <w:rFonts w:hint="eastAsia" w:ascii="宋体" w:hAnsi="宋体" w:cs="宋体"/>
                <w:color w:val="000000"/>
                <w:szCs w:val="21"/>
              </w:rPr>
            </w:pPr>
          </w:p>
        </w:tc>
        <w:tc>
          <w:tcPr>
            <w:tcW w:w="206" w:type="pct"/>
            <w:noWrap w:val="0"/>
            <w:vAlign w:val="center"/>
          </w:tcPr>
          <w:p w14:paraId="7772DD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21</w:t>
            </w:r>
          </w:p>
        </w:tc>
        <w:tc>
          <w:tcPr>
            <w:tcW w:w="1995" w:type="pct"/>
            <w:noWrap w:val="0"/>
            <w:vAlign w:val="center"/>
          </w:tcPr>
          <w:p w14:paraId="71FD89D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使用大型医疗器械以及植入和介入类医疗器械（或医用耗材）的，应当将医疗器械的名称、关键性技术参数等信息以及与使用质量安全密切相关的必要信息记入病历等相关记录中。（2分）</w:t>
            </w:r>
          </w:p>
        </w:tc>
        <w:tc>
          <w:tcPr>
            <w:tcW w:w="1891" w:type="pct"/>
            <w:noWrap w:val="0"/>
            <w:vAlign w:val="center"/>
          </w:tcPr>
          <w:p w14:paraId="5A9CF32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现场抽查病历，发现有不规范、记载缺失的，每发现一项问题，扣1分</w:t>
            </w:r>
          </w:p>
        </w:tc>
        <w:tc>
          <w:tcPr>
            <w:tcW w:w="393" w:type="pct"/>
            <w:noWrap w:val="0"/>
            <w:vAlign w:val="center"/>
          </w:tcPr>
          <w:p w14:paraId="0D09C3D3">
            <w:pPr>
              <w:jc w:val="center"/>
              <w:rPr>
                <w:rFonts w:hint="eastAsia" w:ascii="宋体" w:hAnsi="宋体" w:cs="宋体"/>
                <w:color w:val="000000"/>
                <w:szCs w:val="21"/>
              </w:rPr>
            </w:pPr>
          </w:p>
        </w:tc>
      </w:tr>
      <w:tr w14:paraId="33DA63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95" w:hRule="atLeast"/>
          <w:jc w:val="center"/>
        </w:trPr>
        <w:tc>
          <w:tcPr>
            <w:tcW w:w="511" w:type="pct"/>
            <w:vMerge w:val="continue"/>
            <w:noWrap w:val="0"/>
            <w:vAlign w:val="center"/>
          </w:tcPr>
          <w:p w14:paraId="668B064C">
            <w:pPr>
              <w:rPr>
                <w:rFonts w:hint="eastAsia" w:ascii="宋体" w:hAnsi="宋体" w:cs="宋体"/>
                <w:color w:val="000000"/>
                <w:szCs w:val="21"/>
              </w:rPr>
            </w:pPr>
          </w:p>
        </w:tc>
        <w:tc>
          <w:tcPr>
            <w:tcW w:w="206" w:type="pct"/>
            <w:noWrap w:val="0"/>
            <w:vAlign w:val="center"/>
          </w:tcPr>
          <w:p w14:paraId="235DDD2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22</w:t>
            </w:r>
          </w:p>
        </w:tc>
        <w:tc>
          <w:tcPr>
            <w:tcW w:w="1995" w:type="pct"/>
            <w:noWrap w:val="0"/>
            <w:vAlign w:val="center"/>
          </w:tcPr>
          <w:p w14:paraId="3CF70BA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工伤保险门诊就医管理，门诊处方一般不得超过7日量；急诊处方一般不得超过3日量；如遇特殊情况,处方用量可适当延长，最多不超过1个月量，并在处方上注明理由。同一处方中同效药品不得超过两种。（2分）</w:t>
            </w:r>
          </w:p>
        </w:tc>
        <w:tc>
          <w:tcPr>
            <w:tcW w:w="1891" w:type="pct"/>
            <w:noWrap w:val="0"/>
            <w:vAlign w:val="center"/>
          </w:tcPr>
          <w:p w14:paraId="012DA40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现场抽查处方，病历记载和药品通用名标注、药品用量等不规范的，每发现一项问题，扣1分</w:t>
            </w:r>
          </w:p>
        </w:tc>
        <w:tc>
          <w:tcPr>
            <w:tcW w:w="393" w:type="pct"/>
            <w:noWrap w:val="0"/>
            <w:vAlign w:val="center"/>
          </w:tcPr>
          <w:p w14:paraId="548975B3">
            <w:pPr>
              <w:jc w:val="center"/>
              <w:rPr>
                <w:rFonts w:hint="eastAsia" w:ascii="宋体" w:hAnsi="宋体" w:cs="宋体"/>
                <w:color w:val="000000"/>
                <w:szCs w:val="21"/>
              </w:rPr>
            </w:pPr>
          </w:p>
        </w:tc>
      </w:tr>
      <w:tr w14:paraId="3CCB5C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511" w:type="pct"/>
            <w:vMerge w:val="continue"/>
            <w:noWrap w:val="0"/>
            <w:vAlign w:val="center"/>
          </w:tcPr>
          <w:p w14:paraId="638635BE">
            <w:pPr>
              <w:rPr>
                <w:rFonts w:hint="eastAsia" w:ascii="宋体" w:hAnsi="宋体" w:cs="宋体"/>
                <w:color w:val="000000"/>
                <w:szCs w:val="21"/>
              </w:rPr>
            </w:pPr>
          </w:p>
        </w:tc>
        <w:tc>
          <w:tcPr>
            <w:tcW w:w="206" w:type="pct"/>
            <w:noWrap w:val="0"/>
            <w:vAlign w:val="center"/>
          </w:tcPr>
          <w:p w14:paraId="2D21508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23</w:t>
            </w:r>
          </w:p>
        </w:tc>
        <w:tc>
          <w:tcPr>
            <w:tcW w:w="1995" w:type="pct"/>
            <w:noWrap w:val="0"/>
            <w:vAlign w:val="center"/>
          </w:tcPr>
          <w:p w14:paraId="73C583E2">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出院带药，一般不超过7日量，特殊情况下不超过15日量，品种数不得超过3个，中草药方剂调剂一次不能超过7日剂量。（2分）</w:t>
            </w:r>
          </w:p>
        </w:tc>
        <w:tc>
          <w:tcPr>
            <w:tcW w:w="1891" w:type="pct"/>
            <w:noWrap w:val="0"/>
            <w:vAlign w:val="center"/>
          </w:tcPr>
          <w:p w14:paraId="4BABBC2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现场抽查处方，记载病历和药品通用名标注、药品用量等不规范的，每发现一例问题，扣1分</w:t>
            </w:r>
          </w:p>
        </w:tc>
        <w:tc>
          <w:tcPr>
            <w:tcW w:w="393" w:type="pct"/>
            <w:noWrap w:val="0"/>
            <w:vAlign w:val="center"/>
          </w:tcPr>
          <w:p w14:paraId="47ADA7EB">
            <w:pPr>
              <w:jc w:val="center"/>
              <w:rPr>
                <w:rFonts w:hint="eastAsia" w:ascii="宋体" w:hAnsi="宋体" w:cs="宋体"/>
                <w:color w:val="000000"/>
                <w:szCs w:val="21"/>
              </w:rPr>
            </w:pPr>
          </w:p>
        </w:tc>
      </w:tr>
      <w:tr w14:paraId="19894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511" w:type="pct"/>
            <w:vMerge w:val="continue"/>
            <w:noWrap w:val="0"/>
            <w:vAlign w:val="center"/>
          </w:tcPr>
          <w:p w14:paraId="77965620">
            <w:pPr>
              <w:rPr>
                <w:rFonts w:hint="eastAsia" w:ascii="宋体" w:hAnsi="宋体" w:cs="宋体"/>
                <w:color w:val="000000"/>
                <w:szCs w:val="21"/>
              </w:rPr>
            </w:pPr>
          </w:p>
        </w:tc>
        <w:tc>
          <w:tcPr>
            <w:tcW w:w="206" w:type="pct"/>
            <w:noWrap w:val="0"/>
            <w:vAlign w:val="center"/>
          </w:tcPr>
          <w:p w14:paraId="408865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24</w:t>
            </w:r>
          </w:p>
        </w:tc>
        <w:tc>
          <w:tcPr>
            <w:tcW w:w="1995" w:type="pct"/>
            <w:noWrap w:val="0"/>
            <w:vAlign w:val="center"/>
          </w:tcPr>
          <w:p w14:paraId="7049F70F">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按照服务项目和价格收费标准等规定进行收费。不得套用、重复收取、分解收取、超标准收取或自定标准收取费用，不得打包收费。（2分）</w:t>
            </w:r>
          </w:p>
        </w:tc>
        <w:tc>
          <w:tcPr>
            <w:tcW w:w="1891" w:type="pct"/>
            <w:noWrap w:val="0"/>
            <w:vAlign w:val="center"/>
          </w:tcPr>
          <w:p w14:paraId="77AC1EA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现场抽查记账情况，有差错但低于五项的，扣1分；差错项目超过五项的，不得分</w:t>
            </w:r>
          </w:p>
        </w:tc>
        <w:tc>
          <w:tcPr>
            <w:tcW w:w="393" w:type="pct"/>
            <w:noWrap w:val="0"/>
            <w:vAlign w:val="center"/>
          </w:tcPr>
          <w:p w14:paraId="39F705D8">
            <w:pPr>
              <w:jc w:val="center"/>
              <w:rPr>
                <w:rFonts w:hint="eastAsia" w:ascii="宋体" w:hAnsi="宋体" w:cs="宋体"/>
                <w:color w:val="000000"/>
                <w:szCs w:val="21"/>
              </w:rPr>
            </w:pPr>
          </w:p>
        </w:tc>
      </w:tr>
      <w:tr w14:paraId="2BBF0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511" w:type="pct"/>
            <w:vMerge w:val="restart"/>
            <w:noWrap w:val="0"/>
            <w:vAlign w:val="center"/>
          </w:tcPr>
          <w:p w14:paraId="35C278CD">
            <w:pPr>
              <w:widowControl/>
              <w:spacing w:line="260" w:lineRule="exact"/>
              <w:textAlignment w:val="center"/>
              <w:rPr>
                <w:rFonts w:hint="eastAsia" w:ascii="宋体" w:hAnsi="宋体" w:cs="宋体"/>
                <w:color w:val="000000"/>
                <w:szCs w:val="21"/>
              </w:rPr>
            </w:pPr>
            <w:r>
              <w:rPr>
                <w:rFonts w:hint="eastAsia" w:ascii="宋体" w:hAnsi="宋体" w:cs="宋体"/>
                <w:color w:val="000000"/>
                <w:kern w:val="0"/>
                <w:szCs w:val="21"/>
                <w:lang w:bidi="ar"/>
              </w:rPr>
              <w:t>三、协议执行情况（42分）</w:t>
            </w:r>
          </w:p>
        </w:tc>
        <w:tc>
          <w:tcPr>
            <w:tcW w:w="206" w:type="pct"/>
            <w:noWrap w:val="0"/>
            <w:vAlign w:val="center"/>
          </w:tcPr>
          <w:p w14:paraId="40AC0943">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25</w:t>
            </w:r>
          </w:p>
        </w:tc>
        <w:tc>
          <w:tcPr>
            <w:tcW w:w="1995" w:type="pct"/>
            <w:noWrap w:val="0"/>
            <w:vAlign w:val="center"/>
          </w:tcPr>
          <w:p w14:paraId="500F00C1">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年度联网结算额度应有一定规模。（5分）</w:t>
            </w:r>
          </w:p>
        </w:tc>
        <w:tc>
          <w:tcPr>
            <w:tcW w:w="1891" w:type="pct"/>
            <w:noWrap w:val="0"/>
            <w:vAlign w:val="center"/>
          </w:tcPr>
          <w:p w14:paraId="540169CC">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结算额度大于1万元的，不扣分；1万元至8千元的，扣3分；低于8千元的，扣5分</w:t>
            </w:r>
          </w:p>
        </w:tc>
        <w:tc>
          <w:tcPr>
            <w:tcW w:w="393" w:type="pct"/>
            <w:noWrap w:val="0"/>
            <w:vAlign w:val="center"/>
          </w:tcPr>
          <w:p w14:paraId="4DBD7521">
            <w:pPr>
              <w:widowControl/>
              <w:spacing w:line="260" w:lineRule="exact"/>
              <w:jc w:val="center"/>
              <w:rPr>
                <w:rFonts w:hint="eastAsia" w:ascii="宋体" w:hAnsi="宋体" w:cs="宋体"/>
                <w:color w:val="000000"/>
                <w:szCs w:val="21"/>
              </w:rPr>
            </w:pPr>
          </w:p>
        </w:tc>
      </w:tr>
      <w:tr w14:paraId="5DE9F8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85" w:hRule="atLeast"/>
          <w:jc w:val="center"/>
        </w:trPr>
        <w:tc>
          <w:tcPr>
            <w:tcW w:w="511" w:type="pct"/>
            <w:vMerge w:val="continue"/>
            <w:noWrap w:val="0"/>
            <w:vAlign w:val="center"/>
          </w:tcPr>
          <w:p w14:paraId="7B1C9E60">
            <w:pPr>
              <w:widowControl/>
              <w:spacing w:line="260" w:lineRule="exact"/>
              <w:rPr>
                <w:rFonts w:hint="eastAsia" w:ascii="宋体" w:hAnsi="宋体" w:cs="宋体"/>
                <w:color w:val="000000"/>
                <w:szCs w:val="21"/>
              </w:rPr>
            </w:pPr>
          </w:p>
        </w:tc>
        <w:tc>
          <w:tcPr>
            <w:tcW w:w="206" w:type="pct"/>
            <w:noWrap w:val="0"/>
            <w:vAlign w:val="center"/>
          </w:tcPr>
          <w:p w14:paraId="181E1891">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26</w:t>
            </w:r>
          </w:p>
        </w:tc>
        <w:tc>
          <w:tcPr>
            <w:tcW w:w="1995" w:type="pct"/>
            <w:noWrap w:val="0"/>
            <w:vAlign w:val="center"/>
          </w:tcPr>
          <w:p w14:paraId="4F69E829">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医疗机构名称、法定代表人、主要负责人、执业地址、诊疗科目、级别、床位数、经营性质、机构类别和银行结算账户等重大信息变更。自有关部门批准之日起20个工作日内按要求向工伤保险经办部门提出变更申请，其他一般信息变更及时书面告知。（2分）</w:t>
            </w:r>
          </w:p>
        </w:tc>
        <w:tc>
          <w:tcPr>
            <w:tcW w:w="1891" w:type="pct"/>
            <w:noWrap w:val="0"/>
            <w:vAlign w:val="center"/>
          </w:tcPr>
          <w:p w14:paraId="71CD2624">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无变化和有变化及时申报的，得2分；有变化无申报或申报不及时的，不得分</w:t>
            </w:r>
          </w:p>
        </w:tc>
        <w:tc>
          <w:tcPr>
            <w:tcW w:w="393" w:type="pct"/>
            <w:noWrap w:val="0"/>
            <w:vAlign w:val="center"/>
          </w:tcPr>
          <w:p w14:paraId="6841FFF8">
            <w:pPr>
              <w:widowControl/>
              <w:spacing w:line="260" w:lineRule="exact"/>
              <w:jc w:val="center"/>
              <w:rPr>
                <w:rFonts w:hint="eastAsia" w:ascii="宋体" w:hAnsi="宋体" w:cs="宋体"/>
                <w:color w:val="000000"/>
                <w:szCs w:val="21"/>
              </w:rPr>
            </w:pPr>
          </w:p>
        </w:tc>
      </w:tr>
      <w:tr w14:paraId="5D0C29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511" w:type="pct"/>
            <w:vMerge w:val="continue"/>
            <w:noWrap w:val="0"/>
            <w:vAlign w:val="center"/>
          </w:tcPr>
          <w:p w14:paraId="67527033">
            <w:pPr>
              <w:widowControl/>
              <w:spacing w:line="260" w:lineRule="exact"/>
              <w:rPr>
                <w:rFonts w:hint="eastAsia" w:ascii="宋体" w:hAnsi="宋体" w:cs="宋体"/>
                <w:color w:val="000000"/>
                <w:szCs w:val="21"/>
              </w:rPr>
            </w:pPr>
          </w:p>
        </w:tc>
        <w:tc>
          <w:tcPr>
            <w:tcW w:w="206" w:type="pct"/>
            <w:noWrap w:val="0"/>
            <w:vAlign w:val="center"/>
          </w:tcPr>
          <w:p w14:paraId="1A82589C">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27</w:t>
            </w:r>
          </w:p>
        </w:tc>
        <w:tc>
          <w:tcPr>
            <w:tcW w:w="1995" w:type="pct"/>
            <w:noWrap w:val="0"/>
            <w:vAlign w:val="center"/>
          </w:tcPr>
          <w:p w14:paraId="0BC16CC4">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协议机构管理部门加强日常检查、合理控制费用。（5分）</w:t>
            </w:r>
          </w:p>
        </w:tc>
        <w:tc>
          <w:tcPr>
            <w:tcW w:w="1891" w:type="pct"/>
            <w:noWrap w:val="0"/>
            <w:vAlign w:val="center"/>
          </w:tcPr>
          <w:p w14:paraId="167C3E38">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查看日常工作检查记录台账，工伤医疗费用控制措施或办法，有规范台账的，得5分；有台账但不完善的，得2分；无台账的，不得分</w:t>
            </w:r>
          </w:p>
        </w:tc>
        <w:tc>
          <w:tcPr>
            <w:tcW w:w="393" w:type="pct"/>
            <w:noWrap w:val="0"/>
            <w:vAlign w:val="center"/>
          </w:tcPr>
          <w:p w14:paraId="4548B32E">
            <w:pPr>
              <w:widowControl/>
              <w:spacing w:line="260" w:lineRule="exact"/>
              <w:jc w:val="center"/>
              <w:rPr>
                <w:rFonts w:hint="eastAsia" w:ascii="宋体" w:hAnsi="宋体" w:cs="宋体"/>
                <w:color w:val="000000"/>
                <w:szCs w:val="21"/>
              </w:rPr>
            </w:pPr>
          </w:p>
        </w:tc>
      </w:tr>
      <w:tr w14:paraId="4EB888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11" w:type="pct"/>
            <w:vMerge w:val="continue"/>
            <w:noWrap w:val="0"/>
            <w:vAlign w:val="center"/>
          </w:tcPr>
          <w:p w14:paraId="61E3B95F">
            <w:pPr>
              <w:widowControl/>
              <w:spacing w:line="260" w:lineRule="exact"/>
              <w:rPr>
                <w:rFonts w:hint="eastAsia" w:ascii="宋体" w:hAnsi="宋体" w:cs="宋体"/>
                <w:color w:val="000000"/>
                <w:szCs w:val="21"/>
              </w:rPr>
            </w:pPr>
          </w:p>
        </w:tc>
        <w:tc>
          <w:tcPr>
            <w:tcW w:w="206" w:type="pct"/>
            <w:noWrap w:val="0"/>
            <w:vAlign w:val="center"/>
          </w:tcPr>
          <w:p w14:paraId="1ABE41E3">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28</w:t>
            </w:r>
          </w:p>
        </w:tc>
        <w:tc>
          <w:tcPr>
            <w:tcW w:w="1995" w:type="pct"/>
            <w:noWrap w:val="0"/>
            <w:vAlign w:val="center"/>
          </w:tcPr>
          <w:p w14:paraId="6AB6CF47">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严格执行工伤保险医疗费用申报和审核流程，及时上传相关病历及结算信息，及时上报月结算表。（5分）</w:t>
            </w:r>
          </w:p>
        </w:tc>
        <w:tc>
          <w:tcPr>
            <w:tcW w:w="1891" w:type="pct"/>
            <w:noWrap w:val="0"/>
            <w:vAlign w:val="center"/>
          </w:tcPr>
          <w:p w14:paraId="3DC65549">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查看信息上传情况，每滞后报送一项的，扣1分</w:t>
            </w:r>
          </w:p>
        </w:tc>
        <w:tc>
          <w:tcPr>
            <w:tcW w:w="393" w:type="pct"/>
            <w:noWrap w:val="0"/>
            <w:vAlign w:val="center"/>
          </w:tcPr>
          <w:p w14:paraId="03608333">
            <w:pPr>
              <w:widowControl/>
              <w:spacing w:line="260" w:lineRule="exact"/>
              <w:jc w:val="center"/>
              <w:rPr>
                <w:rFonts w:hint="eastAsia" w:ascii="宋体" w:hAnsi="宋体" w:cs="宋体"/>
                <w:color w:val="000000"/>
                <w:szCs w:val="21"/>
              </w:rPr>
            </w:pPr>
          </w:p>
        </w:tc>
      </w:tr>
      <w:tr w14:paraId="3F15F3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511" w:type="pct"/>
            <w:vMerge w:val="continue"/>
            <w:noWrap w:val="0"/>
            <w:vAlign w:val="center"/>
          </w:tcPr>
          <w:p w14:paraId="6533FAAE">
            <w:pPr>
              <w:widowControl/>
              <w:spacing w:line="260" w:lineRule="exact"/>
              <w:textAlignment w:val="center"/>
              <w:rPr>
                <w:rFonts w:hint="eastAsia" w:ascii="宋体" w:hAnsi="宋体" w:cs="宋体"/>
                <w:color w:val="000000"/>
                <w:szCs w:val="21"/>
              </w:rPr>
            </w:pPr>
          </w:p>
        </w:tc>
        <w:tc>
          <w:tcPr>
            <w:tcW w:w="206" w:type="pct"/>
            <w:noWrap w:val="0"/>
            <w:vAlign w:val="center"/>
          </w:tcPr>
          <w:p w14:paraId="0B214C9F">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29</w:t>
            </w:r>
          </w:p>
        </w:tc>
        <w:tc>
          <w:tcPr>
            <w:tcW w:w="1995" w:type="pct"/>
            <w:noWrap w:val="0"/>
            <w:vAlign w:val="center"/>
          </w:tcPr>
          <w:p w14:paraId="373A5632">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诊疗项目严格掌握适应症，治疗过程应符合相关诊疗标准，避免功效相近的项目叠加使用。（3分）</w:t>
            </w:r>
          </w:p>
        </w:tc>
        <w:tc>
          <w:tcPr>
            <w:tcW w:w="1891" w:type="pct"/>
            <w:noWrap w:val="0"/>
            <w:vAlign w:val="center"/>
          </w:tcPr>
          <w:p w14:paraId="361F7D6F">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现场抽查管理台账，发现有不规范的，每发现一例问题，扣1分</w:t>
            </w:r>
          </w:p>
        </w:tc>
        <w:tc>
          <w:tcPr>
            <w:tcW w:w="393" w:type="pct"/>
            <w:noWrap w:val="0"/>
            <w:vAlign w:val="center"/>
          </w:tcPr>
          <w:p w14:paraId="72D71DA1">
            <w:pPr>
              <w:widowControl/>
              <w:spacing w:line="260" w:lineRule="exact"/>
              <w:jc w:val="center"/>
              <w:rPr>
                <w:rFonts w:hint="eastAsia" w:ascii="宋体" w:hAnsi="宋体" w:cs="宋体"/>
                <w:color w:val="000000"/>
                <w:szCs w:val="21"/>
              </w:rPr>
            </w:pPr>
          </w:p>
        </w:tc>
      </w:tr>
      <w:tr w14:paraId="68BCDD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511" w:type="pct"/>
            <w:vMerge w:val="continue"/>
            <w:noWrap w:val="0"/>
            <w:vAlign w:val="center"/>
          </w:tcPr>
          <w:p w14:paraId="4A7768C1">
            <w:pPr>
              <w:widowControl/>
              <w:spacing w:line="260" w:lineRule="exact"/>
              <w:rPr>
                <w:rFonts w:hint="eastAsia" w:ascii="宋体" w:hAnsi="宋体" w:cs="宋体"/>
                <w:color w:val="000000"/>
                <w:szCs w:val="21"/>
              </w:rPr>
            </w:pPr>
          </w:p>
        </w:tc>
        <w:tc>
          <w:tcPr>
            <w:tcW w:w="206" w:type="pct"/>
            <w:noWrap w:val="0"/>
            <w:vAlign w:val="center"/>
          </w:tcPr>
          <w:p w14:paraId="1BD0150F">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30</w:t>
            </w:r>
          </w:p>
        </w:tc>
        <w:tc>
          <w:tcPr>
            <w:tcW w:w="1995" w:type="pct"/>
            <w:noWrap w:val="0"/>
            <w:vAlign w:val="center"/>
          </w:tcPr>
          <w:p w14:paraId="0C4DD197">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医疗机构实行备案管理。（3分）</w:t>
            </w:r>
          </w:p>
        </w:tc>
        <w:tc>
          <w:tcPr>
            <w:tcW w:w="1891" w:type="pct"/>
            <w:noWrap w:val="0"/>
            <w:vAlign w:val="center"/>
          </w:tcPr>
          <w:p w14:paraId="6B083632">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现场检查发现存在问题的，不得分</w:t>
            </w:r>
          </w:p>
        </w:tc>
        <w:tc>
          <w:tcPr>
            <w:tcW w:w="393" w:type="pct"/>
            <w:noWrap w:val="0"/>
            <w:vAlign w:val="center"/>
          </w:tcPr>
          <w:p w14:paraId="65B6B097">
            <w:pPr>
              <w:widowControl/>
              <w:spacing w:line="260" w:lineRule="exact"/>
              <w:jc w:val="center"/>
              <w:rPr>
                <w:rFonts w:hint="eastAsia" w:ascii="宋体" w:hAnsi="宋体" w:cs="宋体"/>
                <w:color w:val="000000"/>
                <w:szCs w:val="21"/>
              </w:rPr>
            </w:pPr>
          </w:p>
        </w:tc>
      </w:tr>
      <w:tr w14:paraId="63943E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511" w:type="pct"/>
            <w:vMerge w:val="continue"/>
            <w:noWrap w:val="0"/>
            <w:vAlign w:val="center"/>
          </w:tcPr>
          <w:p w14:paraId="0ED91088">
            <w:pPr>
              <w:widowControl/>
              <w:spacing w:line="260" w:lineRule="exact"/>
              <w:rPr>
                <w:rFonts w:hint="eastAsia" w:ascii="宋体" w:hAnsi="宋体" w:cs="宋体"/>
                <w:color w:val="000000"/>
                <w:szCs w:val="21"/>
              </w:rPr>
            </w:pPr>
          </w:p>
        </w:tc>
        <w:tc>
          <w:tcPr>
            <w:tcW w:w="206" w:type="pct"/>
            <w:noWrap w:val="0"/>
            <w:vAlign w:val="center"/>
          </w:tcPr>
          <w:p w14:paraId="54A67FDD">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31</w:t>
            </w:r>
          </w:p>
        </w:tc>
        <w:tc>
          <w:tcPr>
            <w:tcW w:w="1995" w:type="pct"/>
            <w:noWrap w:val="0"/>
            <w:vAlign w:val="center"/>
          </w:tcPr>
          <w:p w14:paraId="0AD0973C">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诊疗记录管理规范，病历建档保存、诊疗记录应当真实、完整、清晰，化验检查须有结果分析。（4分）</w:t>
            </w:r>
          </w:p>
        </w:tc>
        <w:tc>
          <w:tcPr>
            <w:tcW w:w="1891" w:type="pct"/>
            <w:noWrap w:val="0"/>
            <w:vAlign w:val="center"/>
          </w:tcPr>
          <w:p w14:paraId="3924CFA1">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抽查病历档案，每发现一例问题，扣1分</w:t>
            </w:r>
          </w:p>
        </w:tc>
        <w:tc>
          <w:tcPr>
            <w:tcW w:w="393" w:type="pct"/>
            <w:noWrap w:val="0"/>
            <w:vAlign w:val="center"/>
          </w:tcPr>
          <w:p w14:paraId="73C4E0B6">
            <w:pPr>
              <w:widowControl/>
              <w:spacing w:line="260" w:lineRule="exact"/>
              <w:jc w:val="center"/>
              <w:rPr>
                <w:rFonts w:hint="eastAsia" w:ascii="宋体" w:hAnsi="宋体" w:cs="宋体"/>
                <w:color w:val="000000"/>
                <w:szCs w:val="21"/>
              </w:rPr>
            </w:pPr>
          </w:p>
        </w:tc>
      </w:tr>
      <w:tr w14:paraId="0E1816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11" w:type="pct"/>
            <w:vMerge w:val="continue"/>
            <w:noWrap w:val="0"/>
            <w:vAlign w:val="center"/>
          </w:tcPr>
          <w:p w14:paraId="36083AE4">
            <w:pPr>
              <w:widowControl/>
              <w:spacing w:line="260" w:lineRule="exact"/>
              <w:rPr>
                <w:rFonts w:hint="eastAsia" w:ascii="宋体" w:hAnsi="宋体" w:cs="宋体"/>
                <w:color w:val="000000"/>
                <w:szCs w:val="21"/>
              </w:rPr>
            </w:pPr>
          </w:p>
        </w:tc>
        <w:tc>
          <w:tcPr>
            <w:tcW w:w="206" w:type="pct"/>
            <w:noWrap w:val="0"/>
            <w:vAlign w:val="center"/>
          </w:tcPr>
          <w:p w14:paraId="7EBA052B">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32</w:t>
            </w:r>
          </w:p>
        </w:tc>
        <w:tc>
          <w:tcPr>
            <w:tcW w:w="1995" w:type="pct"/>
            <w:noWrap w:val="0"/>
            <w:vAlign w:val="center"/>
          </w:tcPr>
          <w:p w14:paraId="6648B4D9">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做到工伤保险“四目录”及时更新维护，与社保经办机构对照准确，目录内药品备药率及使用率按国家及省内有关规定执行。（5分）</w:t>
            </w:r>
          </w:p>
        </w:tc>
        <w:tc>
          <w:tcPr>
            <w:tcW w:w="1891" w:type="pct"/>
            <w:noWrap w:val="0"/>
            <w:vAlign w:val="center"/>
          </w:tcPr>
          <w:p w14:paraId="27D01E9B">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根据信息部门统计情况，有差错的扣1分；药品备药率及使用率不按规定执行的，每发现一项问题，扣1分</w:t>
            </w:r>
          </w:p>
        </w:tc>
        <w:tc>
          <w:tcPr>
            <w:tcW w:w="393" w:type="pct"/>
            <w:noWrap w:val="0"/>
            <w:vAlign w:val="center"/>
          </w:tcPr>
          <w:p w14:paraId="2B967180">
            <w:pPr>
              <w:widowControl/>
              <w:spacing w:line="260" w:lineRule="exact"/>
              <w:jc w:val="center"/>
              <w:rPr>
                <w:rFonts w:hint="eastAsia" w:ascii="宋体" w:hAnsi="宋体" w:cs="宋体"/>
                <w:color w:val="000000"/>
                <w:szCs w:val="21"/>
              </w:rPr>
            </w:pPr>
          </w:p>
        </w:tc>
      </w:tr>
      <w:tr w14:paraId="71810A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511" w:type="pct"/>
            <w:vMerge w:val="continue"/>
            <w:noWrap w:val="0"/>
            <w:vAlign w:val="center"/>
          </w:tcPr>
          <w:p w14:paraId="58EDC96B">
            <w:pPr>
              <w:widowControl/>
              <w:spacing w:line="260" w:lineRule="exact"/>
              <w:rPr>
                <w:rFonts w:hint="eastAsia" w:ascii="宋体" w:hAnsi="宋体" w:cs="宋体"/>
                <w:color w:val="000000"/>
                <w:szCs w:val="21"/>
              </w:rPr>
            </w:pPr>
          </w:p>
        </w:tc>
        <w:tc>
          <w:tcPr>
            <w:tcW w:w="206" w:type="pct"/>
            <w:noWrap w:val="0"/>
            <w:vAlign w:val="center"/>
          </w:tcPr>
          <w:p w14:paraId="65265766">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33</w:t>
            </w:r>
          </w:p>
        </w:tc>
        <w:tc>
          <w:tcPr>
            <w:tcW w:w="1995" w:type="pct"/>
            <w:noWrap w:val="0"/>
            <w:vAlign w:val="center"/>
          </w:tcPr>
          <w:p w14:paraId="7F68F50D">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认真配合工伤保险经办机构定期组织的病历审核工作，积极抽调本单位医务人员参与病历审核。（5分）</w:t>
            </w:r>
          </w:p>
        </w:tc>
        <w:tc>
          <w:tcPr>
            <w:tcW w:w="1891" w:type="pct"/>
            <w:noWrap w:val="0"/>
            <w:vAlign w:val="center"/>
          </w:tcPr>
          <w:p w14:paraId="3DCA8FBB">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未参加病历审核的不得分，被抽调参加病历审核人员未到的，每出现一次扣1分；未按要求选派医师的，每出现一次扣1分</w:t>
            </w:r>
          </w:p>
        </w:tc>
        <w:tc>
          <w:tcPr>
            <w:tcW w:w="393" w:type="pct"/>
            <w:noWrap w:val="0"/>
            <w:vAlign w:val="center"/>
          </w:tcPr>
          <w:p w14:paraId="015B7EF9">
            <w:pPr>
              <w:widowControl/>
              <w:spacing w:line="260" w:lineRule="exact"/>
              <w:jc w:val="center"/>
              <w:rPr>
                <w:rFonts w:hint="eastAsia" w:ascii="宋体" w:hAnsi="宋体" w:cs="宋体"/>
                <w:color w:val="000000"/>
                <w:szCs w:val="21"/>
              </w:rPr>
            </w:pPr>
          </w:p>
        </w:tc>
      </w:tr>
      <w:tr w14:paraId="49A8946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511" w:type="pct"/>
            <w:vMerge w:val="continue"/>
            <w:noWrap w:val="0"/>
            <w:vAlign w:val="center"/>
          </w:tcPr>
          <w:p w14:paraId="1F2C5665">
            <w:pPr>
              <w:widowControl/>
              <w:spacing w:line="260" w:lineRule="exact"/>
              <w:rPr>
                <w:rFonts w:hint="eastAsia" w:ascii="宋体" w:hAnsi="宋体" w:cs="宋体"/>
                <w:color w:val="000000"/>
                <w:szCs w:val="21"/>
              </w:rPr>
            </w:pPr>
          </w:p>
        </w:tc>
        <w:tc>
          <w:tcPr>
            <w:tcW w:w="206" w:type="pct"/>
            <w:noWrap w:val="0"/>
            <w:vAlign w:val="center"/>
          </w:tcPr>
          <w:p w14:paraId="0BD6FD81">
            <w:pPr>
              <w:widowControl/>
              <w:spacing w:line="260" w:lineRule="exact"/>
              <w:jc w:val="center"/>
              <w:textAlignment w:val="center"/>
              <w:rPr>
                <w:rFonts w:hint="eastAsia" w:ascii="宋体" w:hAnsi="宋体" w:cs="宋体"/>
                <w:color w:val="000000"/>
                <w:szCs w:val="21"/>
              </w:rPr>
            </w:pPr>
            <w:r>
              <w:rPr>
                <w:rFonts w:hint="eastAsia" w:ascii="宋体" w:hAnsi="宋体" w:cs="宋体"/>
                <w:color w:val="000000"/>
                <w:kern w:val="0"/>
                <w:szCs w:val="21"/>
                <w:lang w:bidi="ar"/>
              </w:rPr>
              <w:t>34</w:t>
            </w:r>
          </w:p>
        </w:tc>
        <w:tc>
          <w:tcPr>
            <w:tcW w:w="1995" w:type="pct"/>
            <w:noWrap w:val="0"/>
            <w:vAlign w:val="center"/>
          </w:tcPr>
          <w:p w14:paraId="704E187E">
            <w:pPr>
              <w:widowControl/>
              <w:spacing w:line="260" w:lineRule="exact"/>
              <w:textAlignment w:val="center"/>
              <w:rPr>
                <w:rFonts w:hint="eastAsia" w:ascii="宋体" w:hAnsi="宋体" w:cs="宋体"/>
                <w:color w:val="000000"/>
                <w:szCs w:val="21"/>
              </w:rPr>
            </w:pPr>
            <w:r>
              <w:rPr>
                <w:rFonts w:hint="eastAsia" w:ascii="宋体" w:hAnsi="宋体" w:cs="宋体"/>
                <w:color w:val="000000"/>
                <w:kern w:val="0"/>
                <w:szCs w:val="21"/>
                <w:lang w:bidi="ar"/>
              </w:rPr>
              <w:t>协议机构专项检查工作中发现的问题及时整改（5分）</w:t>
            </w:r>
          </w:p>
        </w:tc>
        <w:tc>
          <w:tcPr>
            <w:tcW w:w="1891" w:type="pct"/>
            <w:noWrap w:val="0"/>
            <w:vAlign w:val="center"/>
          </w:tcPr>
          <w:p w14:paraId="1F401006">
            <w:pPr>
              <w:widowControl/>
              <w:spacing w:line="260" w:lineRule="exact"/>
              <w:jc w:val="left"/>
              <w:textAlignment w:val="center"/>
              <w:rPr>
                <w:rFonts w:hint="eastAsia" w:ascii="宋体" w:hAnsi="宋体" w:cs="宋体"/>
                <w:color w:val="000000"/>
                <w:szCs w:val="21"/>
              </w:rPr>
            </w:pPr>
            <w:r>
              <w:rPr>
                <w:rFonts w:hint="eastAsia" w:ascii="宋体" w:hAnsi="宋体" w:cs="宋体"/>
                <w:color w:val="000000"/>
                <w:kern w:val="0"/>
                <w:szCs w:val="21"/>
                <w:lang w:bidi="ar"/>
              </w:rPr>
              <w:t>检查中对于发现的问题未整改到位的，扣5分</w:t>
            </w:r>
          </w:p>
        </w:tc>
        <w:tc>
          <w:tcPr>
            <w:tcW w:w="393" w:type="pct"/>
            <w:noWrap w:val="0"/>
            <w:vAlign w:val="center"/>
          </w:tcPr>
          <w:p w14:paraId="196E3E83">
            <w:pPr>
              <w:widowControl/>
              <w:spacing w:line="260" w:lineRule="exact"/>
              <w:jc w:val="center"/>
              <w:rPr>
                <w:rFonts w:hint="eastAsia" w:ascii="宋体" w:hAnsi="宋体" w:cs="宋体"/>
                <w:color w:val="000000"/>
                <w:szCs w:val="21"/>
              </w:rPr>
            </w:pPr>
          </w:p>
        </w:tc>
      </w:tr>
      <w:tr w14:paraId="0FF1C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511" w:type="pct"/>
            <w:vMerge w:val="restart"/>
            <w:noWrap w:val="0"/>
            <w:vAlign w:val="center"/>
          </w:tcPr>
          <w:p w14:paraId="6B60AD49">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四、信息管理（10分）</w:t>
            </w:r>
          </w:p>
        </w:tc>
        <w:tc>
          <w:tcPr>
            <w:tcW w:w="206" w:type="pct"/>
            <w:noWrap w:val="0"/>
            <w:vAlign w:val="center"/>
          </w:tcPr>
          <w:p w14:paraId="280D6A6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35</w:t>
            </w:r>
          </w:p>
        </w:tc>
        <w:tc>
          <w:tcPr>
            <w:tcW w:w="1995" w:type="pct"/>
            <w:noWrap w:val="0"/>
            <w:vAlign w:val="center"/>
          </w:tcPr>
          <w:p w14:paraId="3E44E5A5">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HIS系统管理，不得私自延伸定点。（3分）</w:t>
            </w:r>
          </w:p>
        </w:tc>
        <w:tc>
          <w:tcPr>
            <w:tcW w:w="1891" w:type="pct"/>
            <w:noWrap w:val="0"/>
            <w:vAlign w:val="center"/>
          </w:tcPr>
          <w:p w14:paraId="7089B86A">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私自延伸定点的，发现一处问题，扣3分</w:t>
            </w:r>
          </w:p>
        </w:tc>
        <w:tc>
          <w:tcPr>
            <w:tcW w:w="393" w:type="pct"/>
            <w:noWrap w:val="0"/>
            <w:vAlign w:val="center"/>
          </w:tcPr>
          <w:p w14:paraId="557728B3">
            <w:pPr>
              <w:jc w:val="center"/>
              <w:rPr>
                <w:rFonts w:hint="eastAsia" w:ascii="宋体" w:hAnsi="宋体" w:cs="宋体"/>
                <w:color w:val="000000"/>
                <w:szCs w:val="21"/>
              </w:rPr>
            </w:pPr>
          </w:p>
        </w:tc>
      </w:tr>
      <w:tr w14:paraId="574C1F5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511" w:type="pct"/>
            <w:vMerge w:val="continue"/>
            <w:noWrap w:val="0"/>
            <w:vAlign w:val="center"/>
          </w:tcPr>
          <w:p w14:paraId="0D2A4365">
            <w:pPr>
              <w:rPr>
                <w:rFonts w:hint="eastAsia" w:ascii="宋体" w:hAnsi="宋体" w:cs="宋体"/>
                <w:color w:val="000000"/>
                <w:szCs w:val="21"/>
              </w:rPr>
            </w:pPr>
          </w:p>
        </w:tc>
        <w:tc>
          <w:tcPr>
            <w:tcW w:w="206" w:type="pct"/>
            <w:noWrap w:val="0"/>
            <w:vAlign w:val="center"/>
          </w:tcPr>
          <w:p w14:paraId="57026D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36</w:t>
            </w:r>
          </w:p>
        </w:tc>
        <w:tc>
          <w:tcPr>
            <w:tcW w:w="1995" w:type="pct"/>
            <w:noWrap w:val="0"/>
            <w:vAlign w:val="center"/>
          </w:tcPr>
          <w:p w14:paraId="23572FB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工伤诊疗结束后及时上传工伤职工门诊、住院结算及其他相关信息，确保真实准确。（2分）</w:t>
            </w:r>
          </w:p>
        </w:tc>
        <w:tc>
          <w:tcPr>
            <w:tcW w:w="1891" w:type="pct"/>
            <w:noWrap w:val="0"/>
            <w:vAlign w:val="center"/>
          </w:tcPr>
          <w:p w14:paraId="6239C60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抽查上传的及时性，每发现滞后上报1人次，扣1分</w:t>
            </w:r>
          </w:p>
        </w:tc>
        <w:tc>
          <w:tcPr>
            <w:tcW w:w="393" w:type="pct"/>
            <w:noWrap w:val="0"/>
            <w:vAlign w:val="center"/>
          </w:tcPr>
          <w:p w14:paraId="7A020C7B">
            <w:pPr>
              <w:jc w:val="center"/>
              <w:rPr>
                <w:rFonts w:hint="eastAsia" w:ascii="宋体" w:hAnsi="宋体" w:cs="宋体"/>
                <w:color w:val="000000"/>
                <w:szCs w:val="21"/>
              </w:rPr>
            </w:pPr>
          </w:p>
        </w:tc>
      </w:tr>
      <w:tr w14:paraId="184AA3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511" w:type="pct"/>
            <w:vMerge w:val="continue"/>
            <w:noWrap w:val="0"/>
            <w:vAlign w:val="center"/>
          </w:tcPr>
          <w:p w14:paraId="34FF4E61">
            <w:pPr>
              <w:rPr>
                <w:rFonts w:hint="eastAsia" w:ascii="宋体" w:hAnsi="宋体" w:cs="宋体"/>
                <w:color w:val="000000"/>
                <w:szCs w:val="21"/>
              </w:rPr>
            </w:pPr>
          </w:p>
        </w:tc>
        <w:tc>
          <w:tcPr>
            <w:tcW w:w="206" w:type="pct"/>
            <w:noWrap w:val="0"/>
            <w:vAlign w:val="center"/>
          </w:tcPr>
          <w:p w14:paraId="23584E7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37</w:t>
            </w:r>
          </w:p>
        </w:tc>
        <w:tc>
          <w:tcPr>
            <w:tcW w:w="1995" w:type="pct"/>
            <w:noWrap w:val="0"/>
            <w:vAlign w:val="center"/>
          </w:tcPr>
          <w:p w14:paraId="5F55899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做好编码对接和维护工作，定点医疗机构信息系统做到准确对应。（2分）</w:t>
            </w:r>
          </w:p>
        </w:tc>
        <w:tc>
          <w:tcPr>
            <w:tcW w:w="1891" w:type="pct"/>
            <w:noWrap w:val="0"/>
            <w:vAlign w:val="center"/>
          </w:tcPr>
          <w:p w14:paraId="6FB0C6B9">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查看比对情况，每发现一处不符合要求的，扣1分</w:t>
            </w:r>
          </w:p>
        </w:tc>
        <w:tc>
          <w:tcPr>
            <w:tcW w:w="393" w:type="pct"/>
            <w:noWrap w:val="0"/>
            <w:vAlign w:val="center"/>
          </w:tcPr>
          <w:p w14:paraId="675825D5">
            <w:pPr>
              <w:jc w:val="center"/>
              <w:rPr>
                <w:rFonts w:hint="eastAsia" w:ascii="宋体" w:hAnsi="宋体" w:cs="宋体"/>
                <w:color w:val="000000"/>
                <w:szCs w:val="21"/>
              </w:rPr>
            </w:pPr>
          </w:p>
        </w:tc>
      </w:tr>
      <w:tr w14:paraId="32F35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11" w:type="pct"/>
            <w:vMerge w:val="continue"/>
            <w:noWrap w:val="0"/>
            <w:vAlign w:val="center"/>
          </w:tcPr>
          <w:p w14:paraId="7E433458">
            <w:pPr>
              <w:rPr>
                <w:rFonts w:hint="eastAsia" w:ascii="宋体" w:hAnsi="宋体" w:cs="宋体"/>
                <w:color w:val="000000"/>
                <w:szCs w:val="21"/>
              </w:rPr>
            </w:pPr>
          </w:p>
        </w:tc>
        <w:tc>
          <w:tcPr>
            <w:tcW w:w="206" w:type="pct"/>
            <w:noWrap w:val="0"/>
            <w:vAlign w:val="center"/>
          </w:tcPr>
          <w:p w14:paraId="760FA27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w:t>
            </w:r>
          </w:p>
        </w:tc>
        <w:tc>
          <w:tcPr>
            <w:tcW w:w="1995" w:type="pct"/>
            <w:noWrap w:val="0"/>
            <w:vAlign w:val="center"/>
          </w:tcPr>
          <w:p w14:paraId="6B603DFC">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按照规定建立信息安全体系，采取有效措施保护参保人信息。（1分）</w:t>
            </w:r>
          </w:p>
        </w:tc>
        <w:tc>
          <w:tcPr>
            <w:tcW w:w="1891" w:type="pct"/>
            <w:noWrap w:val="0"/>
            <w:vAlign w:val="center"/>
          </w:tcPr>
          <w:p w14:paraId="292828DC">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查看有关制度和工作记录，发现不符合要求的，不得分</w:t>
            </w:r>
          </w:p>
        </w:tc>
        <w:tc>
          <w:tcPr>
            <w:tcW w:w="393" w:type="pct"/>
            <w:noWrap w:val="0"/>
            <w:vAlign w:val="center"/>
          </w:tcPr>
          <w:p w14:paraId="6418850A">
            <w:pPr>
              <w:jc w:val="center"/>
              <w:rPr>
                <w:rFonts w:hint="eastAsia" w:ascii="宋体" w:hAnsi="宋体" w:cs="宋体"/>
                <w:color w:val="000000"/>
                <w:szCs w:val="21"/>
              </w:rPr>
            </w:pPr>
          </w:p>
        </w:tc>
      </w:tr>
      <w:tr w14:paraId="5BE260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511" w:type="pct"/>
            <w:vMerge w:val="continue"/>
            <w:noWrap w:val="0"/>
            <w:vAlign w:val="center"/>
          </w:tcPr>
          <w:p w14:paraId="6D90E197">
            <w:pPr>
              <w:rPr>
                <w:rFonts w:hint="eastAsia" w:ascii="宋体" w:hAnsi="宋体" w:cs="宋体"/>
                <w:color w:val="000000"/>
                <w:szCs w:val="21"/>
              </w:rPr>
            </w:pPr>
          </w:p>
        </w:tc>
        <w:tc>
          <w:tcPr>
            <w:tcW w:w="206" w:type="pct"/>
            <w:noWrap w:val="0"/>
            <w:vAlign w:val="center"/>
          </w:tcPr>
          <w:p w14:paraId="1A25B5F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39</w:t>
            </w:r>
          </w:p>
        </w:tc>
        <w:tc>
          <w:tcPr>
            <w:tcW w:w="1995" w:type="pct"/>
            <w:noWrap w:val="0"/>
            <w:vAlign w:val="center"/>
          </w:tcPr>
          <w:p w14:paraId="4D86111F">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制定紧急预案措施，因信息系统故障暂时不能结算的，应及时做好解释工作。（2分）</w:t>
            </w:r>
          </w:p>
        </w:tc>
        <w:tc>
          <w:tcPr>
            <w:tcW w:w="1891" w:type="pct"/>
            <w:noWrap w:val="0"/>
            <w:vAlign w:val="center"/>
          </w:tcPr>
          <w:p w14:paraId="7C28D248">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查看文件和工作记录，没有预案的不得分，有预案未落实到位的，扣1分</w:t>
            </w:r>
          </w:p>
        </w:tc>
        <w:tc>
          <w:tcPr>
            <w:tcW w:w="393" w:type="pct"/>
            <w:noWrap w:val="0"/>
            <w:vAlign w:val="center"/>
          </w:tcPr>
          <w:p w14:paraId="4536A78E">
            <w:pPr>
              <w:jc w:val="center"/>
              <w:rPr>
                <w:rFonts w:hint="eastAsia" w:ascii="宋体" w:hAnsi="宋体" w:cs="宋体"/>
                <w:color w:val="000000"/>
                <w:szCs w:val="21"/>
              </w:rPr>
            </w:pPr>
          </w:p>
        </w:tc>
      </w:tr>
      <w:tr w14:paraId="2A3117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1" w:hRule="atLeast"/>
          <w:jc w:val="center"/>
        </w:trPr>
        <w:tc>
          <w:tcPr>
            <w:tcW w:w="2714" w:type="pct"/>
            <w:gridSpan w:val="3"/>
            <w:noWrap w:val="0"/>
            <w:vAlign w:val="center"/>
          </w:tcPr>
          <w:p w14:paraId="70D5D872">
            <w:pPr>
              <w:widowControl/>
              <w:textAlignment w:val="center"/>
              <w:rPr>
                <w:rFonts w:hint="eastAsia" w:ascii="宋体" w:hAnsi="宋体" w:cs="宋体"/>
                <w:color w:val="000000"/>
                <w:szCs w:val="21"/>
              </w:rPr>
            </w:pPr>
            <w:r>
              <w:rPr>
                <w:rFonts w:hint="eastAsia" w:ascii="宋体" w:hAnsi="宋体" w:cs="宋体"/>
                <w:color w:val="000000"/>
                <w:kern w:val="0"/>
                <w:szCs w:val="21"/>
                <w:lang w:bidi="ar"/>
              </w:rPr>
              <w:t>总分合计：</w:t>
            </w:r>
          </w:p>
        </w:tc>
        <w:tc>
          <w:tcPr>
            <w:tcW w:w="1891" w:type="pct"/>
            <w:noWrap w:val="0"/>
            <w:vAlign w:val="center"/>
          </w:tcPr>
          <w:p w14:paraId="364676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100分</w:t>
            </w:r>
          </w:p>
        </w:tc>
        <w:tc>
          <w:tcPr>
            <w:tcW w:w="393" w:type="pct"/>
            <w:noWrap w:val="0"/>
            <w:vAlign w:val="center"/>
          </w:tcPr>
          <w:p w14:paraId="2E4264C2">
            <w:pPr>
              <w:rPr>
                <w:rFonts w:hint="eastAsia" w:ascii="宋体" w:hAnsi="宋体" w:cs="宋体"/>
                <w:color w:val="000000"/>
                <w:szCs w:val="21"/>
              </w:rPr>
            </w:pPr>
          </w:p>
        </w:tc>
      </w:tr>
    </w:tbl>
    <w:p w14:paraId="7AAECB2C">
      <w:pPr>
        <w:spacing w:line="590" w:lineRule="exact"/>
        <w:ind w:firstLine="11550" w:firstLineChars="5500"/>
        <w:jc w:val="left"/>
        <w:rPr>
          <w:rFonts w:hint="eastAsia" w:ascii="黑体" w:hAnsi="黑体" w:eastAsia="黑体" w:cs="黑体"/>
          <w:bCs/>
          <w:color w:val="000000"/>
          <w:spacing w:val="4"/>
          <w:w w:val="97"/>
          <w:sz w:val="32"/>
          <w:szCs w:val="32"/>
        </w:rPr>
      </w:pPr>
      <w:r>
        <w:rPr>
          <w:rFonts w:hint="eastAsia" w:ascii="宋体" w:hAnsi="宋体" w:cs="宋体"/>
          <w:color w:val="000000"/>
          <w:kern w:val="0"/>
          <w:szCs w:val="21"/>
          <w:lang w:bidi="ar"/>
        </w:rPr>
        <w:t>年   月    日</w:t>
      </w:r>
    </w:p>
    <w:p w14:paraId="6E894A81">
      <w:pPr>
        <w:spacing w:line="590" w:lineRule="exact"/>
        <w:jc w:val="left"/>
        <w:rPr>
          <w:rFonts w:hint="eastAsia" w:ascii="黑体" w:hAnsi="黑体" w:eastAsia="黑体" w:cs="黑体"/>
          <w:bCs/>
          <w:color w:val="000000"/>
          <w:spacing w:val="4"/>
          <w:w w:val="97"/>
          <w:szCs w:val="21"/>
        </w:rPr>
      </w:pPr>
      <w:r>
        <w:rPr>
          <w:rStyle w:val="9"/>
          <w:rFonts w:hint="default" w:ascii="宋体" w:hAnsi="宋体" w:eastAsia="宋体" w:cs="宋体"/>
          <w:sz w:val="21"/>
          <w:szCs w:val="21"/>
          <w:lang w:bidi="ar"/>
        </w:rPr>
        <w:t>注：本文件印发前已确定的尘肺病基层康复站等康复协议机构暂按原文件执行。</w:t>
      </w:r>
    </w:p>
    <w:p w14:paraId="1CDCA52B">
      <w:pPr>
        <w:spacing w:line="590" w:lineRule="exact"/>
        <w:jc w:val="left"/>
        <w:rPr>
          <w:rFonts w:hint="eastAsia" w:ascii="黑体" w:hAnsi="黑体" w:eastAsia="黑体" w:cs="黑体"/>
          <w:bCs/>
          <w:color w:val="000000"/>
          <w:spacing w:val="4"/>
          <w:w w:val="97"/>
          <w:sz w:val="32"/>
          <w:szCs w:val="32"/>
        </w:rPr>
      </w:pPr>
    </w:p>
    <w:p w14:paraId="5F9389BF">
      <w:pPr>
        <w:spacing w:line="590" w:lineRule="exact"/>
        <w:jc w:val="left"/>
        <w:rPr>
          <w:rFonts w:hint="eastAsia" w:ascii="黑体" w:hAnsi="黑体" w:eastAsia="黑体" w:cs="黑体"/>
          <w:bCs/>
          <w:color w:val="000000"/>
          <w:spacing w:val="4"/>
          <w:w w:val="97"/>
          <w:sz w:val="32"/>
          <w:szCs w:val="32"/>
        </w:rPr>
      </w:pPr>
    </w:p>
    <w:p w14:paraId="7B5E3AC3">
      <w:pPr>
        <w:spacing w:line="590" w:lineRule="exact"/>
        <w:jc w:val="left"/>
        <w:rPr>
          <w:rFonts w:hint="eastAsia" w:ascii="黑体" w:hAnsi="黑体" w:eastAsia="黑体" w:cs="黑体"/>
          <w:bCs/>
          <w:color w:val="000000"/>
          <w:spacing w:val="4"/>
          <w:w w:val="97"/>
          <w:sz w:val="32"/>
          <w:szCs w:val="32"/>
        </w:rPr>
      </w:pPr>
    </w:p>
    <w:p w14:paraId="5ADE73F8">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47999"/>
    <w:rsid w:val="2B047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3">
    <w:name w:val="Body Text Indent"/>
    <w:basedOn w:val="1"/>
    <w:unhideWhenUsed/>
    <w:qFormat/>
    <w:uiPriority w:val="99"/>
    <w:pPr>
      <w:ind w:firstLine="630"/>
    </w:pPr>
    <w:rPr>
      <w:rFonts w:ascii="Times New Roman" w:hAnsi="Times New Roman" w:eastAsia="方正仿宋简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w:basedOn w:val="2"/>
    <w:next w:val="6"/>
    <w:qFormat/>
    <w:uiPriority w:val="0"/>
    <w:pPr>
      <w:ind w:firstLine="420" w:firstLineChars="100"/>
    </w:pPr>
    <w:rPr>
      <w:szCs w:val="24"/>
    </w:rPr>
  </w:style>
  <w:style w:type="paragraph" w:styleId="6">
    <w:name w:val="Body Text First Indent 2"/>
    <w:basedOn w:val="3"/>
    <w:qFormat/>
    <w:uiPriority w:val="0"/>
    <w:pPr>
      <w:ind w:firstLine="420" w:firstLineChars="200"/>
    </w:pPr>
  </w:style>
  <w:style w:type="character" w:customStyle="1" w:styleId="9">
    <w:name w:val="font21"/>
    <w:qFormat/>
    <w:uiPriority w:val="0"/>
    <w:rPr>
      <w:rFonts w:hint="eastAsia" w:ascii="仿宋" w:hAnsi="仿宋" w:eastAsia="仿宋" w:cs="仿宋"/>
      <w:color w:val="000000"/>
      <w:sz w:val="24"/>
      <w:szCs w:val="24"/>
      <w:u w:val="none"/>
    </w:rPr>
  </w:style>
  <w:style w:type="character" w:customStyle="1" w:styleId="10">
    <w:name w:val="page numb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2025-07-24T08:45:00Z</dcterms:created>
  <dc:creator>四驱小蜗牛</dc:creator>
  <cp:lastModifiedBy>四驱小蜗牛</cp:lastModifiedBy>
  <dcterms:modified xsi:type="dcterms:W3CDTF">2025-07-24T08:46:01Z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3EFEE8DBA4084612B516725B28AFECE2_11</vt:lpwstr>
  </property>
  <property fmtid="{D5CDD505-2E9C-101B-9397-08002B2CF9AE}" pid="4" name="KSOTemplateDocerSaveRecord">
    <vt:lpwstr>eyJoZGlkIjoiNDI4NDk3NmJjYWM1N2JlMDY1YTEyZjRkYjdiMzAzNWEiLCJ1c2VySWQiOiIyNjQyNjY1MDEifQ==</vt:lpwstr>
  </property>
</Properties>
</file>