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EFF69">
      <w:pPr>
        <w:pStyle w:val="3"/>
        <w:ind w:firstLine="0" w:firstLineChars="0"/>
        <w:jc w:val="left"/>
        <w:rPr>
          <w:rFonts w:hint="eastAsia" w:ascii="黑体" w:hAnsi="黑体" w:eastAsia="黑体" w:cs="黑体"/>
          <w:bCs/>
          <w:color w:val="000000"/>
          <w:spacing w:val="4"/>
          <w:w w:val="97"/>
          <w:sz w:val="32"/>
          <w:szCs w:val="32"/>
        </w:rPr>
      </w:pPr>
      <w:r>
        <w:rPr>
          <w:rFonts w:hint="eastAsia" w:ascii="黑体" w:hAnsi="黑体" w:eastAsia="黑体" w:cs="黑体"/>
          <w:bCs/>
          <w:color w:val="000000"/>
          <w:spacing w:val="4"/>
          <w:w w:val="97"/>
          <w:sz w:val="32"/>
          <w:szCs w:val="32"/>
        </w:rPr>
        <w:t>附件3</w:t>
      </w:r>
    </w:p>
    <w:p w14:paraId="75A5C3C4">
      <w:pPr>
        <w:adjustRightInd w:val="0"/>
        <w:snapToGrid w:val="0"/>
        <w:spacing w:after="252" w:afterLines="80"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河南省工伤保险康复协议服务机构评估表</w:t>
      </w:r>
    </w:p>
    <w:p w14:paraId="6316772A">
      <w:pPr>
        <w:pStyle w:val="3"/>
        <w:spacing w:after="120"/>
        <w:ind w:firstLine="0" w:firstLineChars="0"/>
        <w:rPr>
          <w:rFonts w:hint="eastAsia" w:ascii="方正小标宋简体" w:hAnsi="方正小标宋简体" w:eastAsia="方正小标宋简体" w:cs="方正小标宋简体"/>
          <w:color w:val="000000"/>
          <w:kern w:val="0"/>
          <w:sz w:val="40"/>
          <w:szCs w:val="40"/>
          <w:lang w:bidi="ar"/>
        </w:rPr>
      </w:pPr>
      <w:r>
        <w:rPr>
          <w:rFonts w:hint="eastAsia" w:ascii="宋体" w:hAnsi="宋体" w:eastAsia="宋体" w:cs="宋体"/>
          <w:color w:val="000000"/>
          <w:kern w:val="0"/>
          <w:szCs w:val="21"/>
          <w:lang w:bidi="ar"/>
        </w:rPr>
        <w:t>机构名称：                                                                                             时间：    年    月    日</w:t>
      </w:r>
    </w:p>
    <w:tbl>
      <w:tblPr>
        <w:tblStyle w:val="4"/>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83"/>
        <w:gridCol w:w="11194"/>
        <w:gridCol w:w="993"/>
        <w:gridCol w:w="1004"/>
      </w:tblGrid>
      <w:tr w14:paraId="337631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347" w:type="pct"/>
            <w:noWrap/>
            <w:vAlign w:val="center"/>
          </w:tcPr>
          <w:p w14:paraId="26EF155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3947" w:type="pct"/>
            <w:noWrap/>
            <w:vAlign w:val="center"/>
          </w:tcPr>
          <w:p w14:paraId="239E189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评估内容</w:t>
            </w:r>
          </w:p>
        </w:tc>
        <w:tc>
          <w:tcPr>
            <w:tcW w:w="350" w:type="pct"/>
            <w:noWrap/>
            <w:vAlign w:val="center"/>
          </w:tcPr>
          <w:p w14:paraId="6178568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分值</w:t>
            </w:r>
          </w:p>
        </w:tc>
        <w:tc>
          <w:tcPr>
            <w:tcW w:w="354" w:type="pct"/>
            <w:noWrap/>
            <w:vAlign w:val="center"/>
          </w:tcPr>
          <w:p w14:paraId="469317C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得分</w:t>
            </w:r>
          </w:p>
        </w:tc>
      </w:tr>
      <w:tr w14:paraId="30539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41944EC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947" w:type="pct"/>
            <w:noWrap w:val="0"/>
            <w:vAlign w:val="center"/>
          </w:tcPr>
          <w:p w14:paraId="54755BF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提供相关的资质、证书要真实、齐全、有效</w:t>
            </w:r>
          </w:p>
        </w:tc>
        <w:tc>
          <w:tcPr>
            <w:tcW w:w="350" w:type="pct"/>
            <w:noWrap/>
            <w:vAlign w:val="center"/>
          </w:tcPr>
          <w:p w14:paraId="578A60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4A604043">
            <w:pPr>
              <w:rPr>
                <w:rFonts w:hint="eastAsia" w:ascii="宋体" w:hAnsi="宋体" w:cs="宋体"/>
                <w:color w:val="000000"/>
                <w:szCs w:val="21"/>
              </w:rPr>
            </w:pPr>
          </w:p>
        </w:tc>
      </w:tr>
      <w:tr w14:paraId="69BAF7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7BE261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3947" w:type="pct"/>
            <w:noWrap w:val="0"/>
            <w:vAlign w:val="center"/>
          </w:tcPr>
          <w:p w14:paraId="4B1A401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具备为工伤职工提供良好医疗服务的条件，在工伤康复和职业病防治方面有专业技术优势</w:t>
            </w:r>
          </w:p>
        </w:tc>
        <w:tc>
          <w:tcPr>
            <w:tcW w:w="350" w:type="pct"/>
            <w:noWrap/>
            <w:vAlign w:val="center"/>
          </w:tcPr>
          <w:p w14:paraId="048053E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6E794E81">
            <w:pPr>
              <w:rPr>
                <w:rFonts w:hint="eastAsia" w:ascii="宋体" w:hAnsi="宋体" w:cs="宋体"/>
                <w:color w:val="000000"/>
                <w:szCs w:val="21"/>
              </w:rPr>
            </w:pPr>
          </w:p>
        </w:tc>
      </w:tr>
      <w:tr w14:paraId="74934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4A5B9C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947" w:type="pct"/>
            <w:noWrap w:val="0"/>
            <w:vAlign w:val="center"/>
          </w:tcPr>
          <w:p w14:paraId="4A11503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具备完善的医院信息系统,可与工伤保险信息系统对接</w:t>
            </w:r>
          </w:p>
        </w:tc>
        <w:tc>
          <w:tcPr>
            <w:tcW w:w="350" w:type="pct"/>
            <w:noWrap/>
            <w:vAlign w:val="center"/>
          </w:tcPr>
          <w:p w14:paraId="4E2A0EF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41F5ADE3">
            <w:pPr>
              <w:rPr>
                <w:rFonts w:hint="eastAsia" w:ascii="宋体" w:hAnsi="宋体" w:cs="宋体"/>
                <w:color w:val="000000"/>
                <w:szCs w:val="21"/>
              </w:rPr>
            </w:pPr>
          </w:p>
        </w:tc>
      </w:tr>
      <w:tr w14:paraId="746D8A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11B2F9A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3947" w:type="pct"/>
            <w:noWrap w:val="0"/>
            <w:vAlign w:val="center"/>
          </w:tcPr>
          <w:p w14:paraId="36A3D81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执业医师、执业护士、药师均持有相关资格证书</w:t>
            </w:r>
          </w:p>
        </w:tc>
        <w:tc>
          <w:tcPr>
            <w:tcW w:w="350" w:type="pct"/>
            <w:noWrap/>
            <w:vAlign w:val="center"/>
          </w:tcPr>
          <w:p w14:paraId="1AF1F7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354" w:type="pct"/>
            <w:noWrap/>
            <w:vAlign w:val="center"/>
          </w:tcPr>
          <w:p w14:paraId="0F633995">
            <w:pPr>
              <w:rPr>
                <w:rFonts w:hint="eastAsia" w:ascii="宋体" w:hAnsi="宋体" w:cs="宋体"/>
                <w:color w:val="000000"/>
                <w:szCs w:val="21"/>
              </w:rPr>
            </w:pPr>
          </w:p>
        </w:tc>
      </w:tr>
      <w:tr w14:paraId="314716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683D8CE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947" w:type="pct"/>
            <w:noWrap w:val="0"/>
            <w:vAlign w:val="center"/>
          </w:tcPr>
          <w:p w14:paraId="19A8FD0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药品、医用材料有进货正规发票</w:t>
            </w:r>
          </w:p>
        </w:tc>
        <w:tc>
          <w:tcPr>
            <w:tcW w:w="350" w:type="pct"/>
            <w:noWrap/>
            <w:vAlign w:val="center"/>
          </w:tcPr>
          <w:p w14:paraId="5E32616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354" w:type="pct"/>
            <w:noWrap/>
            <w:vAlign w:val="center"/>
          </w:tcPr>
          <w:p w14:paraId="0BA947B4">
            <w:pPr>
              <w:rPr>
                <w:rFonts w:hint="eastAsia" w:ascii="宋体" w:hAnsi="宋体" w:cs="宋体"/>
                <w:color w:val="000000"/>
                <w:szCs w:val="21"/>
              </w:rPr>
            </w:pPr>
          </w:p>
        </w:tc>
      </w:tr>
      <w:tr w14:paraId="618475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7D23FA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3947" w:type="pct"/>
            <w:noWrap w:val="0"/>
            <w:vAlign w:val="center"/>
          </w:tcPr>
          <w:p w14:paraId="61DBFB60">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药品及医用耗材进、销、存运用计算机信息系统管理，电子台账账册清楚，账物相符</w:t>
            </w:r>
          </w:p>
        </w:tc>
        <w:tc>
          <w:tcPr>
            <w:tcW w:w="350" w:type="pct"/>
            <w:noWrap/>
            <w:vAlign w:val="center"/>
          </w:tcPr>
          <w:p w14:paraId="00835C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354" w:type="pct"/>
            <w:noWrap/>
            <w:vAlign w:val="center"/>
          </w:tcPr>
          <w:p w14:paraId="7A161DCC">
            <w:pPr>
              <w:rPr>
                <w:rFonts w:hint="eastAsia" w:ascii="宋体" w:hAnsi="宋体" w:cs="宋体"/>
                <w:color w:val="000000"/>
                <w:szCs w:val="21"/>
              </w:rPr>
            </w:pPr>
          </w:p>
        </w:tc>
      </w:tr>
      <w:tr w14:paraId="4DB9C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4E45BA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3947" w:type="pct"/>
            <w:noWrap w:val="0"/>
            <w:vAlign w:val="center"/>
          </w:tcPr>
          <w:p w14:paraId="14BE9BD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具备二级以上康复专科机构条件或三级综合医疗机构资质</w:t>
            </w:r>
          </w:p>
        </w:tc>
        <w:tc>
          <w:tcPr>
            <w:tcW w:w="350" w:type="pct"/>
            <w:noWrap/>
            <w:vAlign w:val="center"/>
          </w:tcPr>
          <w:p w14:paraId="736E39D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354" w:type="pct"/>
            <w:noWrap/>
            <w:vAlign w:val="center"/>
          </w:tcPr>
          <w:p w14:paraId="0805C6F2">
            <w:pPr>
              <w:rPr>
                <w:rFonts w:hint="eastAsia" w:ascii="宋体" w:hAnsi="宋体" w:cs="宋体"/>
                <w:color w:val="000000"/>
                <w:szCs w:val="21"/>
              </w:rPr>
            </w:pPr>
          </w:p>
        </w:tc>
      </w:tr>
      <w:tr w14:paraId="727851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40F58D4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3947" w:type="pct"/>
            <w:noWrap w:val="0"/>
            <w:vAlign w:val="center"/>
          </w:tcPr>
          <w:p w14:paraId="29C1456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有专门的康复病房，康复病房床位在20张以上，每张床净使用面积在6平方米左右</w:t>
            </w:r>
          </w:p>
        </w:tc>
        <w:tc>
          <w:tcPr>
            <w:tcW w:w="350" w:type="pct"/>
            <w:noWrap/>
            <w:vAlign w:val="center"/>
          </w:tcPr>
          <w:p w14:paraId="650989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4BE05AFE">
            <w:pPr>
              <w:rPr>
                <w:rFonts w:hint="eastAsia" w:ascii="宋体" w:hAnsi="宋体" w:cs="宋体"/>
                <w:color w:val="000000"/>
                <w:szCs w:val="21"/>
              </w:rPr>
            </w:pPr>
          </w:p>
        </w:tc>
      </w:tr>
      <w:tr w14:paraId="7A12CA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0A247E6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3947" w:type="pct"/>
            <w:noWrap w:val="0"/>
            <w:vAlign w:val="center"/>
          </w:tcPr>
          <w:p w14:paraId="4D17EF8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面积：综合性医院1000㎡以上，专科医院500㎡以上，社区卫生服务站500㎡以上</w:t>
            </w:r>
          </w:p>
        </w:tc>
        <w:tc>
          <w:tcPr>
            <w:tcW w:w="350" w:type="pct"/>
            <w:noWrap/>
            <w:vAlign w:val="center"/>
          </w:tcPr>
          <w:p w14:paraId="5C5F95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51205145">
            <w:pPr>
              <w:rPr>
                <w:rFonts w:hint="eastAsia" w:ascii="宋体" w:hAnsi="宋体" w:cs="宋体"/>
                <w:color w:val="000000"/>
                <w:szCs w:val="21"/>
              </w:rPr>
            </w:pPr>
          </w:p>
        </w:tc>
      </w:tr>
      <w:tr w14:paraId="5D1E7D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07AA457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3947" w:type="pct"/>
            <w:noWrap w:val="0"/>
            <w:vAlign w:val="center"/>
          </w:tcPr>
          <w:p w14:paraId="20F2B2B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康复业务用房面积在500㎡（门诊200㎡）以上，有独立的康复功能评定、康复治疗和康复支具安装室等</w:t>
            </w:r>
          </w:p>
        </w:tc>
        <w:tc>
          <w:tcPr>
            <w:tcW w:w="350" w:type="pct"/>
            <w:noWrap/>
            <w:vAlign w:val="center"/>
          </w:tcPr>
          <w:p w14:paraId="3841B69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6B33337A">
            <w:pPr>
              <w:rPr>
                <w:rFonts w:hint="eastAsia" w:ascii="宋体" w:hAnsi="宋体" w:cs="宋体"/>
                <w:color w:val="000000"/>
                <w:szCs w:val="21"/>
              </w:rPr>
            </w:pPr>
          </w:p>
        </w:tc>
      </w:tr>
      <w:tr w14:paraId="5E8D4B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3F1FC2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3947" w:type="pct"/>
            <w:noWrap w:val="0"/>
            <w:vAlign w:val="center"/>
          </w:tcPr>
          <w:p w14:paraId="624562B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有较为完善的康复器械和设备</w:t>
            </w:r>
          </w:p>
        </w:tc>
        <w:tc>
          <w:tcPr>
            <w:tcW w:w="350" w:type="pct"/>
            <w:noWrap/>
            <w:vAlign w:val="center"/>
          </w:tcPr>
          <w:p w14:paraId="7C03A32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54CBC263">
            <w:pPr>
              <w:rPr>
                <w:rFonts w:hint="eastAsia" w:ascii="宋体" w:hAnsi="宋体" w:cs="宋体"/>
                <w:color w:val="000000"/>
                <w:szCs w:val="21"/>
              </w:rPr>
            </w:pPr>
          </w:p>
        </w:tc>
      </w:tr>
      <w:tr w14:paraId="69EFB8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0419C9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3947" w:type="pct"/>
            <w:noWrap w:val="0"/>
            <w:vAlign w:val="center"/>
          </w:tcPr>
          <w:p w14:paraId="196537A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拥有3名（门诊1名）以上康复专业医师，经过专业培训的康复治疗师10名（门诊3名）以上</w:t>
            </w:r>
          </w:p>
        </w:tc>
        <w:tc>
          <w:tcPr>
            <w:tcW w:w="350" w:type="pct"/>
            <w:noWrap/>
            <w:vAlign w:val="center"/>
          </w:tcPr>
          <w:p w14:paraId="339B025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11101E31">
            <w:pPr>
              <w:rPr>
                <w:rFonts w:hint="eastAsia" w:ascii="宋体" w:hAnsi="宋体" w:cs="宋体"/>
                <w:color w:val="000000"/>
                <w:szCs w:val="21"/>
              </w:rPr>
            </w:pPr>
          </w:p>
        </w:tc>
      </w:tr>
      <w:tr w14:paraId="163455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395B3A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3947" w:type="pct"/>
            <w:noWrap w:val="0"/>
            <w:vAlign w:val="center"/>
          </w:tcPr>
          <w:p w14:paraId="1C22B98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配备专职工伤保险管理人员，且熟悉工伤保险政策规定</w:t>
            </w:r>
          </w:p>
        </w:tc>
        <w:tc>
          <w:tcPr>
            <w:tcW w:w="350" w:type="pct"/>
            <w:noWrap/>
            <w:vAlign w:val="center"/>
          </w:tcPr>
          <w:p w14:paraId="06364D1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6B9AB809">
            <w:pPr>
              <w:rPr>
                <w:rFonts w:hint="eastAsia" w:ascii="宋体" w:hAnsi="宋体" w:cs="宋体"/>
                <w:color w:val="000000"/>
                <w:szCs w:val="21"/>
              </w:rPr>
            </w:pPr>
          </w:p>
        </w:tc>
      </w:tr>
      <w:tr w14:paraId="5EF3D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47" w:type="pct"/>
            <w:noWrap/>
            <w:vAlign w:val="center"/>
          </w:tcPr>
          <w:p w14:paraId="77BEA28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3947" w:type="pct"/>
            <w:noWrap w:val="0"/>
            <w:vAlign w:val="center"/>
          </w:tcPr>
          <w:p w14:paraId="00EBEF5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工伤保险管理制度和医疗服务管理制度健全</w:t>
            </w:r>
          </w:p>
        </w:tc>
        <w:tc>
          <w:tcPr>
            <w:tcW w:w="350" w:type="pct"/>
            <w:noWrap/>
            <w:vAlign w:val="center"/>
          </w:tcPr>
          <w:p w14:paraId="209DD93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01E00E19">
            <w:pPr>
              <w:rPr>
                <w:rFonts w:hint="eastAsia" w:ascii="宋体" w:hAnsi="宋体" w:cs="宋体"/>
                <w:color w:val="000000"/>
                <w:szCs w:val="21"/>
              </w:rPr>
            </w:pPr>
          </w:p>
        </w:tc>
      </w:tr>
      <w:tr w14:paraId="621EBF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47" w:type="pct"/>
            <w:noWrap/>
            <w:vAlign w:val="center"/>
          </w:tcPr>
          <w:p w14:paraId="4B1150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3947" w:type="pct"/>
            <w:noWrap w:val="0"/>
            <w:vAlign w:val="center"/>
          </w:tcPr>
          <w:p w14:paraId="668713E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营业场所服务环境良好，宽敞明亮、卫生整洁，有消杀设备，布局合理，无卫生死角</w:t>
            </w:r>
          </w:p>
        </w:tc>
        <w:tc>
          <w:tcPr>
            <w:tcW w:w="350" w:type="pct"/>
            <w:noWrap/>
            <w:vAlign w:val="center"/>
          </w:tcPr>
          <w:p w14:paraId="082B7C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0B0897B6">
            <w:pPr>
              <w:rPr>
                <w:rFonts w:hint="eastAsia" w:ascii="宋体" w:hAnsi="宋体" w:cs="宋体"/>
                <w:color w:val="000000"/>
                <w:szCs w:val="21"/>
              </w:rPr>
            </w:pPr>
          </w:p>
        </w:tc>
      </w:tr>
      <w:tr w14:paraId="44FA9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47" w:type="pct"/>
            <w:noWrap/>
            <w:vAlign w:val="center"/>
          </w:tcPr>
          <w:p w14:paraId="7648E65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3947" w:type="pct"/>
            <w:noWrap w:val="0"/>
            <w:vAlign w:val="center"/>
          </w:tcPr>
          <w:p w14:paraId="0BFBE76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医用物品归类摆放，有专门的医疗废物处理流程，在显著位置公布医疗服务项目及药品价格相关信息</w:t>
            </w:r>
          </w:p>
        </w:tc>
        <w:tc>
          <w:tcPr>
            <w:tcW w:w="350" w:type="pct"/>
            <w:noWrap/>
            <w:vAlign w:val="center"/>
          </w:tcPr>
          <w:p w14:paraId="3B5706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0A31F653">
            <w:pPr>
              <w:rPr>
                <w:rFonts w:hint="eastAsia" w:ascii="宋体" w:hAnsi="宋体" w:cs="宋体"/>
                <w:color w:val="000000"/>
                <w:szCs w:val="21"/>
              </w:rPr>
            </w:pPr>
          </w:p>
        </w:tc>
      </w:tr>
      <w:tr w14:paraId="0FFAAD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47" w:type="pct"/>
            <w:noWrap/>
            <w:vAlign w:val="center"/>
          </w:tcPr>
          <w:p w14:paraId="4CA044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3947" w:type="pct"/>
            <w:noWrap w:val="0"/>
            <w:vAlign w:val="center"/>
          </w:tcPr>
          <w:p w14:paraId="0912BBA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药房有药品防尘、防潮、冷藏、无污染、防虫、防鼠、无霉变等措施；毒麻精放类等特殊药品符合相关管理规定</w:t>
            </w:r>
          </w:p>
        </w:tc>
        <w:tc>
          <w:tcPr>
            <w:tcW w:w="350" w:type="pct"/>
            <w:noWrap/>
            <w:vAlign w:val="center"/>
          </w:tcPr>
          <w:p w14:paraId="46914E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217D86C0">
            <w:pPr>
              <w:rPr>
                <w:rFonts w:hint="eastAsia" w:ascii="宋体" w:hAnsi="宋体" w:cs="宋体"/>
                <w:color w:val="000000"/>
                <w:szCs w:val="21"/>
              </w:rPr>
            </w:pPr>
          </w:p>
        </w:tc>
      </w:tr>
      <w:tr w14:paraId="1175BF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347" w:type="pct"/>
            <w:noWrap/>
            <w:vAlign w:val="center"/>
          </w:tcPr>
          <w:p w14:paraId="730C74C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3947" w:type="pct"/>
            <w:noWrap w:val="0"/>
            <w:vAlign w:val="center"/>
          </w:tcPr>
          <w:p w14:paraId="5A3F458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有24小时为参保人员提供服务的标志，在营业场所显著位置公布投诉、举报电话。提供相关咨询服务，接受参保人和社会监督</w:t>
            </w:r>
          </w:p>
        </w:tc>
        <w:tc>
          <w:tcPr>
            <w:tcW w:w="350" w:type="pct"/>
            <w:noWrap/>
            <w:vAlign w:val="center"/>
          </w:tcPr>
          <w:p w14:paraId="2DCE555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355DFFC2">
            <w:pPr>
              <w:rPr>
                <w:rFonts w:hint="eastAsia" w:ascii="宋体" w:hAnsi="宋体" w:cs="宋体"/>
                <w:color w:val="000000"/>
                <w:szCs w:val="21"/>
              </w:rPr>
            </w:pPr>
          </w:p>
        </w:tc>
      </w:tr>
      <w:tr w14:paraId="301B8C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347" w:type="pct"/>
            <w:noWrap/>
            <w:vAlign w:val="center"/>
          </w:tcPr>
          <w:p w14:paraId="04AE0B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3947" w:type="pct"/>
            <w:noWrap w:val="0"/>
            <w:vAlign w:val="center"/>
          </w:tcPr>
          <w:p w14:paraId="17BDBCDD">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营业区域、收银柜台等位置配备监控设施</w:t>
            </w:r>
          </w:p>
        </w:tc>
        <w:tc>
          <w:tcPr>
            <w:tcW w:w="350" w:type="pct"/>
            <w:noWrap/>
            <w:vAlign w:val="center"/>
          </w:tcPr>
          <w:p w14:paraId="530294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64B87957">
            <w:pPr>
              <w:rPr>
                <w:rFonts w:hint="eastAsia" w:ascii="宋体" w:hAnsi="宋体" w:cs="宋体"/>
                <w:color w:val="000000"/>
                <w:szCs w:val="21"/>
              </w:rPr>
            </w:pPr>
          </w:p>
        </w:tc>
      </w:tr>
      <w:tr w14:paraId="6C55B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55" w:hRule="atLeast"/>
          <w:jc w:val="center"/>
        </w:trPr>
        <w:tc>
          <w:tcPr>
            <w:tcW w:w="347" w:type="pct"/>
            <w:noWrap/>
            <w:vAlign w:val="center"/>
          </w:tcPr>
          <w:p w14:paraId="62281B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3947" w:type="pct"/>
            <w:noWrap w:val="0"/>
            <w:vAlign w:val="center"/>
          </w:tcPr>
          <w:p w14:paraId="5CDC8A7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至少具有给氧装置、心电图机、洗胃器、电动吸引器、呼吸球囊、气管插管、万能手术床、必要的手术器械、显微镜离心机、X光机药品柜、紫外线灯、恒温培养箱、高压灭菌设备等基础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二级医疗机构在一级医疗机构基础上至少增加有呼吸机、自动洗胃机、电动吸引器、心电图机、心脏除颤器、麻醉机、胃镜、B超，有与开展的诊疗科目相应的其他设备；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在二级医疗机构基础上至少增加有高频电刀、移动式X光机、多普勒成像仪、动态心电图机、脑电图机、脑血流图机、血液透析器、肺功能仪、支气管镜、消化内镜、直肠镜、腹腔镜、膀胱镜、宫腔镜等基本设备，有与开展的诊疗科目相应的其他设备。</w:t>
            </w:r>
          </w:p>
        </w:tc>
        <w:tc>
          <w:tcPr>
            <w:tcW w:w="350" w:type="pct"/>
            <w:noWrap/>
            <w:vAlign w:val="center"/>
          </w:tcPr>
          <w:p w14:paraId="7D6059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5E087F8C">
            <w:pPr>
              <w:rPr>
                <w:rFonts w:hint="eastAsia" w:ascii="宋体" w:hAnsi="宋体" w:cs="宋体"/>
                <w:color w:val="000000"/>
                <w:szCs w:val="21"/>
              </w:rPr>
            </w:pPr>
          </w:p>
        </w:tc>
      </w:tr>
      <w:tr w14:paraId="4724BD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229" w:hRule="atLeast"/>
          <w:jc w:val="center"/>
        </w:trPr>
        <w:tc>
          <w:tcPr>
            <w:tcW w:w="347" w:type="pct"/>
            <w:noWrap/>
            <w:vAlign w:val="center"/>
          </w:tcPr>
          <w:p w14:paraId="7D4CE1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3947" w:type="pct"/>
            <w:noWrap w:val="0"/>
            <w:vAlign w:val="center"/>
          </w:tcPr>
          <w:p w14:paraId="294FC3E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一级（含未定级）医疗机构具有50张以上住院床位，至少有1名高级职称的医师，1名中级以上职称的护师；临床科室至少配备一名具有中级以上职称医师，医师和护士配置数量与科室床位数相适应；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二级医疗机构具有100张以上住院床位，至少有3名高级职称的医师；各专业科室至少有1名具有主治医师以上职称的医师，医师和护士配置数量与科室床位数相适应；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三级医疗机构具有500张以上住院床位，各专业科室的主任应具有高级职称；临床科室独立设置，医师和护士配置数量与科室床位数相适应。</w:t>
            </w:r>
          </w:p>
        </w:tc>
        <w:tc>
          <w:tcPr>
            <w:tcW w:w="350" w:type="pct"/>
            <w:noWrap/>
            <w:vAlign w:val="center"/>
          </w:tcPr>
          <w:p w14:paraId="7F052B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03643443">
            <w:pPr>
              <w:rPr>
                <w:rFonts w:hint="eastAsia" w:ascii="宋体" w:hAnsi="宋体" w:cs="宋体"/>
                <w:color w:val="000000"/>
                <w:szCs w:val="21"/>
              </w:rPr>
            </w:pPr>
          </w:p>
        </w:tc>
      </w:tr>
      <w:tr w14:paraId="41FD1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347" w:type="pct"/>
            <w:noWrap/>
            <w:vAlign w:val="center"/>
          </w:tcPr>
          <w:p w14:paraId="69C51E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3947" w:type="pct"/>
            <w:noWrap w:val="0"/>
            <w:vAlign w:val="center"/>
          </w:tcPr>
          <w:p w14:paraId="7E98F3C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一级（含未定级）医疗机构至少设急诊室、抢救室、内科、外科、妇（产）科、预防保健科等临床科室，至少设有药房、化验室、X光室、病案室等医技科室；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二级医疗机构在一级医疗机构基础上需增加相应临床科室，医技科室至少增设有药剂科、检验科、放射科、手术室、病理科、理疗科、等医技科室；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三级医疗机构在二级医疗机构基础上需增加相应临床科室，输血科、感染科、重症医学科、血液净化室、消毒供应中心等医技科室。</w:t>
            </w:r>
          </w:p>
        </w:tc>
        <w:tc>
          <w:tcPr>
            <w:tcW w:w="350" w:type="pct"/>
            <w:noWrap/>
            <w:vAlign w:val="center"/>
          </w:tcPr>
          <w:p w14:paraId="167B5F1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354" w:type="pct"/>
            <w:noWrap/>
            <w:vAlign w:val="center"/>
          </w:tcPr>
          <w:p w14:paraId="387473BD">
            <w:pPr>
              <w:rPr>
                <w:rFonts w:hint="eastAsia" w:ascii="宋体" w:hAnsi="宋体" w:cs="宋体"/>
                <w:color w:val="000000"/>
                <w:szCs w:val="21"/>
              </w:rPr>
            </w:pPr>
          </w:p>
        </w:tc>
      </w:tr>
      <w:tr w14:paraId="1BAD5C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347" w:type="pct"/>
            <w:noWrap/>
            <w:vAlign w:val="center"/>
          </w:tcPr>
          <w:p w14:paraId="5C826D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3947" w:type="pct"/>
            <w:noWrap w:val="0"/>
            <w:vAlign w:val="center"/>
          </w:tcPr>
          <w:p w14:paraId="25CAE20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病历书写符合《病历书写基本规范》要求（住院病历记录应清晰、真实、准确、完整，并妥善保存；化验检查、用药和治疗应在病程记录中说明，并有结果分析；具有住院资格的医疗机构应做到住院医嘱、病程记录、检查结果、治疗单记录和票据、费用清单“六吻合”）</w:t>
            </w:r>
          </w:p>
        </w:tc>
        <w:tc>
          <w:tcPr>
            <w:tcW w:w="350" w:type="pct"/>
            <w:noWrap/>
            <w:vAlign w:val="center"/>
          </w:tcPr>
          <w:p w14:paraId="5847220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1C4EE927">
            <w:pPr>
              <w:rPr>
                <w:rFonts w:hint="eastAsia" w:ascii="宋体" w:hAnsi="宋体" w:cs="宋体"/>
                <w:color w:val="000000"/>
                <w:szCs w:val="21"/>
              </w:rPr>
            </w:pPr>
          </w:p>
        </w:tc>
      </w:tr>
      <w:tr w14:paraId="1BB73A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347" w:type="pct"/>
            <w:noWrap/>
            <w:vAlign w:val="center"/>
          </w:tcPr>
          <w:p w14:paraId="0E2B61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3947" w:type="pct"/>
            <w:noWrap w:val="0"/>
            <w:vAlign w:val="center"/>
          </w:tcPr>
          <w:p w14:paraId="2DA759F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具有住院资格医疗机构的执业医师开具的西药处方须符合西医疾病诊治原则，开具中成药、中药饮片处方，应遵循中医辨证施治原则合理发放药</w:t>
            </w:r>
          </w:p>
        </w:tc>
        <w:tc>
          <w:tcPr>
            <w:tcW w:w="350" w:type="pct"/>
            <w:noWrap/>
            <w:vAlign w:val="center"/>
          </w:tcPr>
          <w:p w14:paraId="7857786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160C3E68">
            <w:pPr>
              <w:rPr>
                <w:rFonts w:hint="eastAsia" w:ascii="宋体" w:hAnsi="宋体" w:cs="宋体"/>
                <w:color w:val="000000"/>
                <w:szCs w:val="21"/>
              </w:rPr>
            </w:pPr>
          </w:p>
        </w:tc>
      </w:tr>
      <w:tr w14:paraId="07ABB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6B400A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3947" w:type="pct"/>
            <w:noWrap w:val="0"/>
            <w:vAlign w:val="center"/>
          </w:tcPr>
          <w:p w14:paraId="5C0F5CB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法定代表人、主要负责人或实际控制人未被列入失信人名单</w:t>
            </w:r>
          </w:p>
        </w:tc>
        <w:tc>
          <w:tcPr>
            <w:tcW w:w="350" w:type="pct"/>
            <w:noWrap/>
            <w:vAlign w:val="center"/>
          </w:tcPr>
          <w:p w14:paraId="2A6AED0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661C046E">
            <w:pPr>
              <w:rPr>
                <w:rFonts w:hint="eastAsia" w:ascii="宋体" w:hAnsi="宋体" w:cs="宋体"/>
                <w:color w:val="000000"/>
                <w:szCs w:val="21"/>
              </w:rPr>
            </w:pPr>
          </w:p>
        </w:tc>
      </w:tr>
      <w:tr w14:paraId="2B7207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2870ED7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3947" w:type="pct"/>
            <w:noWrap w:val="0"/>
            <w:vAlign w:val="center"/>
          </w:tcPr>
          <w:p w14:paraId="36240675">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全员签订劳动合同且在合同期内</w:t>
            </w:r>
          </w:p>
        </w:tc>
        <w:tc>
          <w:tcPr>
            <w:tcW w:w="350" w:type="pct"/>
            <w:noWrap/>
            <w:vAlign w:val="center"/>
          </w:tcPr>
          <w:p w14:paraId="14BDED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42975CF5">
            <w:pPr>
              <w:rPr>
                <w:rFonts w:hint="eastAsia" w:ascii="宋体" w:hAnsi="宋体" w:cs="宋体"/>
                <w:color w:val="000000"/>
                <w:szCs w:val="21"/>
              </w:rPr>
            </w:pPr>
          </w:p>
        </w:tc>
      </w:tr>
      <w:tr w14:paraId="30776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1FABFA6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3947" w:type="pct"/>
            <w:noWrap w:val="0"/>
            <w:vAlign w:val="center"/>
          </w:tcPr>
          <w:p w14:paraId="1CDDE33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全员按时足额缴纳社会保险费</w:t>
            </w:r>
          </w:p>
        </w:tc>
        <w:tc>
          <w:tcPr>
            <w:tcW w:w="350" w:type="pct"/>
            <w:noWrap/>
            <w:vAlign w:val="center"/>
          </w:tcPr>
          <w:p w14:paraId="4F6E777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5F6AE268">
            <w:pPr>
              <w:rPr>
                <w:rFonts w:hint="eastAsia" w:ascii="宋体" w:hAnsi="宋体" w:cs="宋体"/>
                <w:color w:val="000000"/>
                <w:szCs w:val="21"/>
              </w:rPr>
            </w:pPr>
          </w:p>
        </w:tc>
      </w:tr>
      <w:tr w14:paraId="33FBC1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ign w:val="center"/>
          </w:tcPr>
          <w:p w14:paraId="7D0EF6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3947" w:type="pct"/>
            <w:noWrap w:val="0"/>
            <w:vAlign w:val="center"/>
          </w:tcPr>
          <w:p w14:paraId="0F973FB6">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三年内未发生重大医疗及质量安全事件</w:t>
            </w:r>
          </w:p>
        </w:tc>
        <w:tc>
          <w:tcPr>
            <w:tcW w:w="350" w:type="pct"/>
            <w:noWrap/>
            <w:vAlign w:val="center"/>
          </w:tcPr>
          <w:p w14:paraId="10E862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354" w:type="pct"/>
            <w:noWrap/>
            <w:vAlign w:val="center"/>
          </w:tcPr>
          <w:p w14:paraId="50866D07">
            <w:pPr>
              <w:rPr>
                <w:rFonts w:hint="eastAsia" w:ascii="宋体" w:hAnsi="宋体" w:cs="宋体"/>
                <w:color w:val="000000"/>
                <w:szCs w:val="21"/>
              </w:rPr>
            </w:pPr>
          </w:p>
        </w:tc>
      </w:tr>
      <w:tr w14:paraId="0E9C50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94" w:type="pct"/>
            <w:gridSpan w:val="2"/>
            <w:noWrap/>
            <w:vAlign w:val="center"/>
          </w:tcPr>
          <w:p w14:paraId="7255F8C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总分值</w:t>
            </w:r>
          </w:p>
        </w:tc>
        <w:tc>
          <w:tcPr>
            <w:tcW w:w="350" w:type="pct"/>
            <w:noWrap/>
            <w:vAlign w:val="center"/>
          </w:tcPr>
          <w:p w14:paraId="742048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354" w:type="pct"/>
            <w:noWrap/>
            <w:vAlign w:val="center"/>
          </w:tcPr>
          <w:p w14:paraId="04091CD1">
            <w:pPr>
              <w:rPr>
                <w:rFonts w:hint="eastAsia" w:ascii="宋体" w:hAnsi="宋体" w:cs="宋体"/>
                <w:color w:val="000000"/>
                <w:szCs w:val="21"/>
              </w:rPr>
            </w:pPr>
          </w:p>
        </w:tc>
      </w:tr>
    </w:tbl>
    <w:p w14:paraId="032DF8C2">
      <w:pPr>
        <w:pStyle w:val="3"/>
        <w:ind w:firstLine="636"/>
        <w:rPr>
          <w:rFonts w:hint="eastAsia" w:ascii="黑体" w:hAnsi="黑体" w:eastAsia="黑体" w:cs="黑体"/>
          <w:bCs/>
          <w:color w:val="000000"/>
          <w:spacing w:val="4"/>
          <w:w w:val="97"/>
          <w:sz w:val="32"/>
          <w:szCs w:val="32"/>
        </w:rPr>
      </w:pPr>
    </w:p>
    <w:p w14:paraId="0D3FD661">
      <w:pPr>
        <w:pStyle w:val="3"/>
        <w:ind w:firstLine="636"/>
        <w:rPr>
          <w:rFonts w:hint="eastAsia" w:ascii="黑体" w:hAnsi="黑体" w:eastAsia="黑体" w:cs="黑体"/>
          <w:bCs/>
          <w:color w:val="000000"/>
          <w:spacing w:val="4"/>
          <w:w w:val="97"/>
          <w:sz w:val="32"/>
          <w:szCs w:val="32"/>
        </w:rPr>
      </w:pPr>
    </w:p>
    <w:p w14:paraId="266686E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55E0E"/>
    <w:rsid w:val="4AB5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30"/>
    </w:pPr>
    <w:rPr>
      <w:rFonts w:ascii="Times New Roman" w:hAnsi="Times New Roman" w:eastAsia="方正仿宋简体"/>
      <w:szCs w:val="24"/>
    </w:r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2025-07-24T08:45:00Z</dcterms:created>
  <dc:creator>四驱小蜗牛</dc:creator>
  <cp:lastModifiedBy>四驱小蜗牛</cp:lastModifiedBy>
  <dcterms:modified xsi:type="dcterms:W3CDTF">2025-07-24T08:45:16Z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A1A9AF9AAC914292A098CFAA402E71D8_11</vt:lpwstr>
  </property>
  <property fmtid="{D5CDD505-2E9C-101B-9397-08002B2CF9AE}" pid="4" name="KSOTemplateDocerSaveRecord">
    <vt:lpwstr>eyJoZGlkIjoiNDI4NDk3NmJjYWM1N2JlMDY1YTEyZjRkYjdiMzAzNWEiLCJ1c2VySWQiOiIyNjQyNjY1MDEifQ==</vt:lpwstr>
  </property>
</Properties>
</file>