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color w:val="000000"/>
          <w:sz w:val="32"/>
          <w:szCs w:val="32"/>
          <w:lang w:val="en-US" w:eastAsia="zh-CN"/>
        </w:rPr>
        <w:t>附件</w:t>
      </w:r>
    </w:p>
    <w:p>
      <w:pPr>
        <w:rPr>
          <w:rFonts w:hint="default" w:ascii="黑体" w:hAnsi="黑体" w:eastAsia="黑体" w:cs="方正小标宋简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受托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银行服务范围</w:t>
      </w:r>
    </w:p>
    <w:tbl>
      <w:tblPr>
        <w:tblStyle w:val="2"/>
        <w:tblpPr w:leftFromText="180" w:rightFromText="180" w:vertAnchor="text" w:horzAnchor="page" w:tblpX="1680" w:tblpY="94"/>
        <w:tblOverlap w:val="never"/>
        <w:tblW w:w="50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38"/>
        <w:gridCol w:w="6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商业银行</w:t>
            </w:r>
          </w:p>
        </w:tc>
        <w:tc>
          <w:tcPr>
            <w:tcW w:w="3513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工商银行</w:t>
            </w:r>
          </w:p>
        </w:tc>
        <w:tc>
          <w:tcPr>
            <w:tcW w:w="3513" w:type="pct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城六区（贷款中心）、顺义管理部、密云管理部、怀柔管理部、平谷管理部、工商银行代办点受理的贷款业务。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建设银行</w:t>
            </w:r>
          </w:p>
        </w:tc>
        <w:tc>
          <w:tcPr>
            <w:tcW w:w="3513" w:type="pct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城六区（贷款中心）、昌平管理部、房山管理部、门头沟管理部、延庆管理部、建设银行代办点受理的贷款业务。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招商银行</w:t>
            </w:r>
          </w:p>
        </w:tc>
        <w:tc>
          <w:tcPr>
            <w:tcW w:w="3513" w:type="pct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城六区（贷款中心）、大兴管理部、昌平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、门头沟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、招商银行代办点受理的贷款业务。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北京银行</w:t>
            </w:r>
          </w:p>
        </w:tc>
        <w:tc>
          <w:tcPr>
            <w:tcW w:w="3513" w:type="pct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城六区（贷款中心）、房山管理部、通州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、大兴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、北京银行代办点受理的贷款业务。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交通银行</w:t>
            </w:r>
          </w:p>
        </w:tc>
        <w:tc>
          <w:tcPr>
            <w:tcW w:w="3513" w:type="pct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城六区（贷款中心）、大兴管理部、昌平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、顺义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、交通银行代办点受理的贷款业务。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74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农业银行</w:t>
            </w:r>
          </w:p>
        </w:tc>
        <w:tc>
          <w:tcPr>
            <w:tcW w:w="3513" w:type="pct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城六区（贷款中心）、房山管理部、昌平管理部、通州管理部、农业银行代办点受理的贷款业务。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北京农商行</w:t>
            </w:r>
          </w:p>
        </w:tc>
        <w:tc>
          <w:tcPr>
            <w:tcW w:w="3513" w:type="pct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城六区（贷款中心）、密云管理部、怀柔管理部。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中国银行</w:t>
            </w:r>
          </w:p>
        </w:tc>
        <w:tc>
          <w:tcPr>
            <w:tcW w:w="3513" w:type="pct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城六区（贷款中心）、顺义管理部、延庆管理部、中国银行代办点受理的贷款业务。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中信银行</w:t>
            </w:r>
          </w:p>
        </w:tc>
        <w:tc>
          <w:tcPr>
            <w:tcW w:w="3513" w:type="pct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城六区（贷款中心）、平谷管理部、中信银行代办点受理的贷款业务。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浦发银行</w:t>
            </w:r>
          </w:p>
        </w:tc>
        <w:tc>
          <w:tcPr>
            <w:tcW w:w="3513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城六区（贷款中心）、通州管理部。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华夏银行</w:t>
            </w:r>
          </w:p>
        </w:tc>
        <w:tc>
          <w:tcPr>
            <w:tcW w:w="3513" w:type="pct"/>
            <w:noWrap w:val="0"/>
            <w:vAlign w:val="center"/>
          </w:tcPr>
          <w:p>
            <w:pPr>
              <w:widowControl w:val="0"/>
              <w:spacing w:after="0" w:line="5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城六区（贷款中心）、门头沟管理部。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BBFDA1"/>
    <w:rsid w:val="ABBBF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2025-06-05T20:00:00Z</dcterms:created>
  <dc:creator>艾明欣</dc:creator>
  <cp:lastModifiedBy>艾明欣</cp:lastModifiedBy>
  <dcterms:modified xsi:type="dcterms:W3CDTF">2025-06-05T20:01:05Z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4ED4A7CD836260A4ED864168BD839966</vt:lpwstr>
  </property>
</Properties>
</file>