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E3D77">
      <w:pPr>
        <w:rPr>
          <w:rFonts w:hint="eastAsia" w:ascii="黑体" w:hAnsi="黑体" w:eastAsia="黑体"/>
        </w:rPr>
      </w:pPr>
      <w:r>
        <w:rPr>
          <w:rFonts w:ascii="黑体" w:hAnsi="黑体" w:eastAsia="黑体"/>
        </w:rPr>
        <w:t>附件</w:t>
      </w:r>
      <w:r>
        <w:rPr>
          <w:rFonts w:hint="eastAsia" w:ascii="黑体" w:hAnsi="黑体" w:eastAsia="黑体"/>
        </w:rPr>
        <w:t>5</w:t>
      </w:r>
    </w:p>
    <w:p w14:paraId="2848E105">
      <w:pPr>
        <w:rPr>
          <w:rFonts w:hint="eastAsia"/>
        </w:rPr>
      </w:pPr>
    </w:p>
    <w:p w14:paraId="3ADDB6B9">
      <w:pPr>
        <w:adjustRightInd w:val="0"/>
        <w:spacing w:line="600" w:lineRule="exact"/>
        <w:jc w:val="center"/>
        <w:rPr>
          <w:rFonts w:hint="eastAsia" w:ascii="小标宋" w:hAnsi="小标宋" w:eastAsia="小标宋" w:cs="小标宋"/>
          <w:color w:val="000000"/>
          <w:sz w:val="44"/>
          <w:szCs w:val="44"/>
        </w:rPr>
      </w:pPr>
      <w:r>
        <w:rPr>
          <w:rFonts w:hint="eastAsia" w:ascii="小标宋" w:hAnsi="小标宋" w:eastAsia="小标宋" w:cs="小标宋"/>
          <w:color w:val="000000"/>
          <w:sz w:val="44"/>
          <w:szCs w:val="44"/>
        </w:rPr>
        <w:t>江西省工伤保险康复协议机构资质评估表</w:t>
      </w:r>
    </w:p>
    <w:p w14:paraId="0742D9D9">
      <w:pPr>
        <w:spacing w:line="240" w:lineRule="exact"/>
        <w:rPr>
          <w:rFonts w:hint="eastAsia"/>
        </w:rPr>
      </w:pPr>
    </w:p>
    <w:p w14:paraId="50A83B6A">
      <w:pPr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kern w:val="0"/>
          <w:sz w:val="28"/>
          <w:szCs w:val="28"/>
          <w:lang w:bidi="ar"/>
        </w:rPr>
        <w:t>申请机构</w:t>
      </w:r>
      <w:r>
        <w:rPr>
          <w:rFonts w:ascii="宋体" w:hAnsi="宋体" w:eastAsia="宋体"/>
          <w:color w:val="000000"/>
          <w:kern w:val="0"/>
          <w:sz w:val="28"/>
          <w:szCs w:val="28"/>
          <w:lang w:bidi="ar"/>
        </w:rPr>
        <w:t>：</w:t>
      </w:r>
      <w:r>
        <w:rPr>
          <w:rFonts w:hint="eastAsia" w:ascii="宋体" w:hAnsi="宋体" w:eastAsia="宋体"/>
          <w:color w:val="000000"/>
          <w:kern w:val="0"/>
          <w:sz w:val="28"/>
          <w:szCs w:val="28"/>
          <w:lang w:bidi="ar"/>
        </w:rPr>
        <w:t xml:space="preserve">                               </w:t>
      </w:r>
      <w:r>
        <w:rPr>
          <w:rFonts w:ascii="宋体" w:hAnsi="宋体" w:eastAsia="宋体"/>
          <w:color w:val="000000"/>
          <w:kern w:val="0"/>
          <w:sz w:val="28"/>
          <w:szCs w:val="28"/>
          <w:lang w:bidi="ar"/>
        </w:rPr>
        <w:t>评估日期：</w:t>
      </w:r>
    </w:p>
    <w:tbl>
      <w:tblPr>
        <w:tblStyle w:val="5"/>
        <w:tblW w:w="100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5674"/>
        <w:gridCol w:w="799"/>
        <w:gridCol w:w="796"/>
        <w:gridCol w:w="1638"/>
      </w:tblGrid>
      <w:tr w14:paraId="1D8F9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B3B16"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4D39A"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color w:val="000000"/>
                <w:kern w:val="0"/>
                <w:sz w:val="18"/>
                <w:szCs w:val="18"/>
                <w:lang w:bidi="ar"/>
              </w:rPr>
              <w:t>具体明细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196C8"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color w:val="000000"/>
                <w:kern w:val="0"/>
                <w:sz w:val="18"/>
                <w:szCs w:val="18"/>
                <w:lang w:bidi="ar"/>
              </w:rPr>
              <w:t>分值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4CBCE"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color w:val="000000"/>
                <w:kern w:val="0"/>
                <w:sz w:val="18"/>
                <w:szCs w:val="18"/>
                <w:lang w:bidi="ar"/>
              </w:rPr>
              <w:t>得分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3D053"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4845B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484FC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基本设置</w:t>
            </w: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4313A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正式运营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三个月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以上。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36BE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单项</w:t>
            </w:r>
          </w:p>
          <w:p w14:paraId="7F628FE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否决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E35EC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62DA0">
            <w:pPr>
              <w:widowControl/>
              <w:spacing w:line="32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59E7D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E013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35953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具备二级以上康复医院（专科机构）条件或三级综合医疗机构资质，其中医疗机构需有医疗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保障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定点服务资格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" w:bidi="ar"/>
              </w:rPr>
              <w:t>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3600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单项</w:t>
            </w:r>
          </w:p>
          <w:p w14:paraId="08F0F28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否决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9635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453F3">
            <w:pPr>
              <w:widowControl/>
              <w:spacing w:line="32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4E97D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6F00C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7C719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有稳定的执业场所，执业场所使用权剩余有效期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年以上（从递交申请资料之日起计算）。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3318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单项</w:t>
            </w:r>
          </w:p>
          <w:p w14:paraId="5E1148C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否决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A608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1484A">
            <w:pPr>
              <w:widowControl/>
              <w:spacing w:line="32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38888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BD8F5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FE03A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申报资料与事实相符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执业范围未超过许可范围；科室设置未超过批准；经营地址与所持有效证件登记地址相符等。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F307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单项</w:t>
            </w:r>
          </w:p>
          <w:p w14:paraId="6FB065C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否决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22DF4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E9F24">
            <w:pPr>
              <w:widowControl/>
              <w:spacing w:line="32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2E4D3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E38ED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AC3D1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依法参加社会保险。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9DB9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单项</w:t>
            </w:r>
          </w:p>
          <w:p w14:paraId="6425422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否决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CECF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191DF">
            <w:pPr>
              <w:widowControl/>
              <w:spacing w:line="32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321D4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9BD5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bidi="ar"/>
              </w:rPr>
              <w:t>康复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bidi="ar"/>
              </w:rPr>
              <w:t>服务</w:t>
            </w:r>
          </w:p>
          <w:p w14:paraId="3A1BC1F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bidi="ar"/>
              </w:rPr>
              <w:t>能力</w:t>
            </w:r>
          </w:p>
          <w:p w14:paraId="6825AC0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bidi="ar"/>
              </w:rPr>
              <w:t>（30分）</w:t>
            </w: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4CE7F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康复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机构等级、科室设置、医务人员、床位数与医护比等符合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康复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机构基本标准。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D5D3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18分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90DD5">
            <w:pPr>
              <w:widowControl/>
              <w:spacing w:line="32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FA321">
            <w:pPr>
              <w:widowControl/>
              <w:spacing w:line="32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40BBD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C0E46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92AF9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在工伤康复方面具有专业技术优势，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在本地区处于领先水平。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DD7E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12分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899FE">
            <w:pPr>
              <w:widowControl/>
              <w:spacing w:line="32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55C49">
            <w:pPr>
              <w:widowControl/>
              <w:spacing w:line="32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三级康复专科机构7-12分，三级综合医疗机构4-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val="en" w:bidi="ar"/>
              </w:rPr>
              <w:t>10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分，二级康复专科机构1-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val="en" w:bidi="ar"/>
              </w:rPr>
              <w:t>8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</w:tc>
      </w:tr>
      <w:tr w14:paraId="51ECC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36AB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信息化建设（20分）</w:t>
            </w: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ECA29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有健全和完善的信息化管理制度，有完善齐全的软硬件系统设备，对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康复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服务过程实行全流程信息化管理。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E263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20分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93B25">
            <w:pPr>
              <w:widowControl/>
              <w:spacing w:line="32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5B2C7">
            <w:pPr>
              <w:widowControl/>
              <w:spacing w:line="32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1C354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FDE9E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FB547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具备与江西省社会保险信息系统联网条件，能够为工伤职工提供工伤康复费即时结算服务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ADB7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单项</w:t>
            </w:r>
          </w:p>
          <w:p w14:paraId="39C38F24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否决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665FB">
            <w:pPr>
              <w:widowControl/>
              <w:spacing w:line="32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0C2A4">
            <w:pPr>
              <w:widowControl/>
              <w:spacing w:line="32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6C8C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7D475"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color w:val="000000"/>
                <w:kern w:val="0"/>
                <w:sz w:val="18"/>
                <w:szCs w:val="18"/>
                <w:lang w:bidi="ar"/>
              </w:rPr>
              <w:t>项目</w:t>
            </w: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6986A"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color w:val="000000"/>
                <w:kern w:val="0"/>
                <w:sz w:val="18"/>
                <w:szCs w:val="18"/>
                <w:lang w:bidi="ar"/>
              </w:rPr>
              <w:t>具体明细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52CBB"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color w:val="000000"/>
                <w:kern w:val="0"/>
                <w:sz w:val="18"/>
                <w:szCs w:val="18"/>
                <w:lang w:bidi="ar"/>
              </w:rPr>
              <w:t>分值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2218B"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color w:val="000000"/>
                <w:kern w:val="0"/>
                <w:sz w:val="18"/>
                <w:szCs w:val="18"/>
                <w:lang w:bidi="ar"/>
              </w:rPr>
              <w:t>得分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DB28C"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18"/>
                <w:szCs w:val="18"/>
              </w:rPr>
            </w:pPr>
            <w:r>
              <w:rPr>
                <w:rFonts w:ascii="黑体" w:hAnsi="黑体" w:eastAsia="黑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5FD78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7BB10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内部管理（20分）</w:t>
            </w: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45145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有健全和完善的财务管理制度、财务会计管理制度，对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康复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机构财务活动进行全面管理，建立监督内控机制。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FE76E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3分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0A141"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DE8E1"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3EB41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7D3FA"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C615C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有健全完善的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康复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服务管理制度；遵守国家有关医疗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、康复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服务和职业病防治管理的法规和标准，明确常规医疗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、康复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护理技术操作技术规范和质量标准。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4597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5分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9E518"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48EEB"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B5AC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C0AA5"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B63C7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健全的设备管理制度，各种医疗设备、器材建立规范的账目，主要设备有建立档案。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CE6C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3分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F9EBE"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32FE7"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1AEC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B3DBC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7C859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建立了与工伤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康复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管理相适应的内部管理制度，配备了专（兼）职管理人员。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BB74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3分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0E17E">
            <w:pPr>
              <w:widowControl/>
              <w:spacing w:line="32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C6CB4">
            <w:pPr>
              <w:widowControl/>
              <w:spacing w:line="32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0231C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E550E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8B3E1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康复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机构干净整洁，无乱贴乱挂，功能分区合理。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077F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3分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ED355">
            <w:pPr>
              <w:widowControl/>
              <w:spacing w:line="32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BF1EE">
            <w:pPr>
              <w:widowControl/>
              <w:spacing w:line="32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26CF0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AC81E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9FA1D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设立单独的业务档案室，病历管理质量均为合格。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6C5AC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3分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09D4C">
            <w:pPr>
              <w:widowControl/>
              <w:spacing w:line="32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39B2B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每确定1份不合格病历扣1分，扣完为止。</w:t>
            </w:r>
          </w:p>
        </w:tc>
      </w:tr>
      <w:tr w14:paraId="53A16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CEFF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价格管理（20分）</w:t>
            </w: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4DEB1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遵守国家和省相关部门规定的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康复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服务和药品的价格政策；公示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康复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服务和药品价格信息及政府指导价的。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DABC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10分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A0FA1">
            <w:pPr>
              <w:widowControl/>
              <w:spacing w:line="32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DF92C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各占5分。</w:t>
            </w:r>
          </w:p>
        </w:tc>
      </w:tr>
      <w:tr w14:paraId="596FD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56A13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AFF0B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按规定提供药品、检查、治疗、服务收费清单；建立日清单及出院结算明细单制度；建立自费项目、药品知情确认制度。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1AA0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10分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1306E">
            <w:pPr>
              <w:widowControl/>
              <w:spacing w:line="32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CD80D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随机抽查，未按规定的，每发现1个扣1分，扣完为止。</w:t>
            </w:r>
          </w:p>
        </w:tc>
      </w:tr>
      <w:tr w14:paraId="68697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EB46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便捷服务</w:t>
            </w:r>
          </w:p>
          <w:p w14:paraId="4761D20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与投诉</w:t>
            </w:r>
          </w:p>
          <w:p w14:paraId="6DD1F40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（10分）</w:t>
            </w: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30A4A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设立导诊台、触摸屏、指示牌、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康复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流程、专家姓名和联系方式，方便工伤职工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就医康复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的。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43EDC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5分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88373">
            <w:pPr>
              <w:widowControl/>
              <w:spacing w:line="32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AE19E">
            <w:pPr>
              <w:widowControl/>
              <w:spacing w:line="32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14C0C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8FDDE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15FF3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bidi="ar"/>
              </w:rPr>
              <w:t>建立健全医疗纠纷投诉和处理机构，并有专人负责，公布投诉电话、信箱，畅通投诉渠道，及时受理、处置患方投诉的。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1D7C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5分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2AFE7">
            <w:pPr>
              <w:widowControl/>
              <w:spacing w:line="32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7227B">
            <w:pPr>
              <w:widowControl/>
              <w:spacing w:line="32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  <w:tr w14:paraId="4BDF3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BAD4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总分</w:t>
            </w:r>
          </w:p>
        </w:tc>
        <w:tc>
          <w:tcPr>
            <w:tcW w:w="5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D7A6C">
            <w:pPr>
              <w:widowControl/>
              <w:spacing w:line="32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254E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bidi="ar"/>
              </w:rPr>
              <w:t>100分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A0507">
            <w:pPr>
              <w:widowControl/>
              <w:spacing w:line="32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6EF98">
            <w:pPr>
              <w:widowControl/>
              <w:spacing w:line="320" w:lineRule="exact"/>
              <w:jc w:val="left"/>
              <w:rPr>
                <w:rFonts w:ascii="宋体" w:hAnsi="宋体" w:eastAsia="宋体"/>
                <w:color w:val="000000"/>
                <w:sz w:val="18"/>
                <w:szCs w:val="18"/>
              </w:rPr>
            </w:pPr>
          </w:p>
        </w:tc>
      </w:tr>
    </w:tbl>
    <w:p w14:paraId="4F52DCFB">
      <w:pPr>
        <w:rPr>
          <w:color w:val="000000"/>
          <w:sz w:val="22"/>
          <w:szCs w:val="22"/>
        </w:rPr>
      </w:pPr>
      <w:r>
        <w:rPr>
          <w:color w:val="000000"/>
          <w:kern w:val="0"/>
          <w:sz w:val="22"/>
          <w:szCs w:val="22"/>
          <w:lang w:bidi="ar"/>
        </w:rPr>
        <w:t>备注：得分达到90分（含）以上的为合格。</w:t>
      </w:r>
    </w:p>
    <w:p w14:paraId="0C2DBD1C">
      <w:pPr>
        <w:pStyle w:val="2"/>
        <w:spacing w:line="360" w:lineRule="exac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评估人签字：</w:t>
      </w:r>
    </w:p>
    <w:p w14:paraId="1C87F4E1">
      <w:pPr>
        <w:pStyle w:val="2"/>
      </w:pPr>
    </w:p>
    <w:p w14:paraId="223AC7F5">
      <w:pPr>
        <w:pStyle w:val="2"/>
        <w:sectPr>
          <w:pgSz w:w="11906" w:h="16838"/>
          <w:pgMar w:top="2098" w:right="1474" w:bottom="1985" w:left="1588" w:header="851" w:footer="1332" w:gutter="0"/>
          <w:cols w:space="720" w:num="1"/>
          <w:docGrid w:type="linesAndChars" w:linePitch="579" w:charSpace="-849"/>
        </w:sectPr>
      </w:pPr>
    </w:p>
    <w:p w14:paraId="2E1A184E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D6663"/>
    <w:rsid w:val="49BC3EA7"/>
    <w:rsid w:val="64EF13FD"/>
    <w:rsid w:val="682656FE"/>
    <w:rsid w:val="7948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ordWrap w:val="0"/>
      <w:spacing w:beforeLines="0" w:beforeAutospacing="0" w:afterLines="0" w:afterAutospacing="0" w:line="240" w:lineRule="auto"/>
      <w:jc w:val="center"/>
      <w:outlineLvl w:val="0"/>
    </w:pPr>
    <w:rPr>
      <w:rFonts w:eastAsia="小标宋" w:asciiTheme="minorAscii" w:hAnsiTheme="minorAscii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wordWrap w:val="0"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Times New Roman" w:hAnsi="Times New Roman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2025-04-02T06:43:00Z</dcterms:created>
  <dc:creator>Administrator</dc:creator>
  <cp:lastModifiedBy>WPS_1664336279</cp:lastModifiedBy>
  <dcterms:modified xsi:type="dcterms:W3CDTF">2025-04-15T06:28:02Z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90D0B41DA9A1459299F7654FA5FE43A1_12</vt:lpwstr>
  </property>
  <property fmtid="{D5CDD505-2E9C-101B-9397-08002B2CF9AE}" pid="4" name="KSOTemplateDocerSaveRecord">
    <vt:lpwstr>eyJoZGlkIjoiMGFhNTAyYjcyMzMzN2NmYzgzYjFkMjI4NmNmMzRmOGIiLCJ1c2VySWQiOiIxNDE3MTM4MDQzIn0=</vt:lpwstr>
  </property>
</Properties>
</file>