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371F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4</w:t>
      </w:r>
    </w:p>
    <w:p w14:paraId="0388050E">
      <w:pPr>
        <w:rPr>
          <w:rFonts w:hint="eastAsia"/>
        </w:rPr>
      </w:pPr>
    </w:p>
    <w:p w14:paraId="205351CD">
      <w:pPr>
        <w:adjustRightInd w:val="0"/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江西省工伤保险医疗协议机构资质评估表</w:t>
      </w:r>
    </w:p>
    <w:p w14:paraId="51C4B939">
      <w:pPr>
        <w:rPr>
          <w:rFonts w:hint="eastAsia" w:ascii="仿宋_GB2312"/>
        </w:rPr>
      </w:pPr>
    </w:p>
    <w:p w14:paraId="5C27C647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>申请机构</w:t>
      </w:r>
      <w:r>
        <w:rPr>
          <w:rFonts w:ascii="宋体" w:hAnsi="宋体" w:eastAsia="宋体"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 xml:space="preserve">                               </w:t>
      </w:r>
      <w:r>
        <w:rPr>
          <w:rFonts w:ascii="宋体" w:hAnsi="宋体" w:eastAsia="宋体"/>
          <w:color w:val="000000"/>
          <w:kern w:val="0"/>
          <w:sz w:val="28"/>
          <w:szCs w:val="28"/>
          <w:lang w:bidi="ar"/>
        </w:rPr>
        <w:t>评估日期：</w:t>
      </w:r>
    </w:p>
    <w:tbl>
      <w:tblPr>
        <w:tblStyle w:val="5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330"/>
        <w:gridCol w:w="755"/>
        <w:gridCol w:w="871"/>
        <w:gridCol w:w="1677"/>
      </w:tblGrid>
      <w:tr w14:paraId="50BB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6F39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1190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具体明细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AA83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FB30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F48A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3BEE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D32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基本设置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0E9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正式运营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三个月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以上。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2A4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5BBE21D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AC0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E93E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9B0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6AD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3F66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具有医疗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保障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定点服务资格。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563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0DBEE36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C44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3186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198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041E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6AEA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有稳定的执业场所，执业场所使用权剩余有效期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年以上（从递交申请资料之日起计算）。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078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3A11EB2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4E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6163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818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1BE3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3FCA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申报资料与事实相符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执业范围未超过许可范围；科室设置未超过批准；经营地址与所持有效证件登记地址相符等。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F41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37FBED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FD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B4C3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910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FDE9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8C2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依法参加社会保险。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E40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3B9959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EC2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5B99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F41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FE9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医疗服务能力</w:t>
            </w:r>
          </w:p>
          <w:p w14:paraId="3D17D15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（30分）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BEC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医疗机构等级、科室设置、医务人员、床位数与医护比等符合医疗机构基本标准。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E05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18分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65AC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1D79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520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C75C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26D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在工伤救治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职业病防治方面具有专业技术优势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，在本地区处于领先水平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562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12分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8210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8ED5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三级医疗机构7-12分，二级医疗机构4-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val="en" w:bidi="ar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分，一级医疗机构1-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val="en" w:bidi="ar"/>
              </w:rPr>
              <w:t>8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14:paraId="76AB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CDD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信息化</w:t>
            </w:r>
          </w:p>
          <w:p w14:paraId="4B37430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建设</w:t>
            </w:r>
          </w:p>
          <w:p w14:paraId="6FD4587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（20分）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5CED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有健全和完善的信息化管理制度，有完善齐全的软硬件系统设备，对医疗服务过程实行全流程信息化管理。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1DA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EB8E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0706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491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906A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477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具备与江西省社会保险信息系统联网条件，能够为工伤职工提供工伤医疗费即时结算服务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FE9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196D85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2823"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E421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B0A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DC58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C4D4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具体明细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7539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FED0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E9EC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365F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96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内部管理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（20分）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775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有健全和完善的财务管理制度、财务会计管理制度，对医疗机构财务活动进行全面管理，建立监督内控机制。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98A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E32E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796C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0FC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A062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811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有健全完善的医疗服务管理制度；遵守国家有关医疗服务和职业病防治管理的法规和标准，明确常规医疗护理技术操作技术规范和质量标准。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37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E453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E087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79E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C140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2A17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健全的设备管理制度，各种医疗设备、器材建立规范的账目，主要设备有建立档案。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5AC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1D7A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3D48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966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DB84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20A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建立了与工伤医疗管理相适应的内部管理制度，配备了专（兼）职管理人员。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2C2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E3D3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1618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BD6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83E0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C46A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医疗机构干净整洁，无乱贴乱挂，功能分区合理。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E42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6B7C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15D7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B735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18FC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8E1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设立单独的业务档案室，病历管理质量均为合格。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BA2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E1FE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4237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每确定1份不合格病历扣1分，扣完为止。</w:t>
            </w:r>
          </w:p>
        </w:tc>
      </w:tr>
      <w:tr w14:paraId="3F67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C9A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价格管理（20分）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C28D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遵守国家和省相关部门规定的医疗服务和药品的价格政策；公示医疗服务和药品价格信息及政府指导价的。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420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2285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878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各占5分。</w:t>
            </w:r>
          </w:p>
        </w:tc>
      </w:tr>
      <w:tr w14:paraId="4B57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A1E7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34B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按规定提供药品、检查、治疗、服务收费清单；建立日清单及出院结算明细单制度；建立自费项目、药品知情确认制度。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37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D1A1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3DC7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随机抽查，未按规定的，每发现1个扣1分，扣完为止。</w:t>
            </w:r>
          </w:p>
        </w:tc>
      </w:tr>
      <w:tr w14:paraId="7586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0EF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便捷服务与投诉（10分）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88B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设立导诊台、触摸屏、指示牌、就医流程、专家姓名和联系方式，方便工伤职工看病就医的。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1FF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D28D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D393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73D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5887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81DA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建立健全医疗纠纷投诉和处理机构，并有专人负责，公布投诉电话、信箱，畅通投诉渠道，及时受理、处置患方投诉的。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9F3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4019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8C08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FFF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8F2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总分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7E46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C44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100分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899A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9258"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 w14:paraId="338AA827">
      <w:pPr>
        <w:rPr>
          <w:color w:val="000000"/>
          <w:sz w:val="24"/>
          <w:szCs w:val="24"/>
        </w:rPr>
      </w:pPr>
      <w:r>
        <w:rPr>
          <w:color w:val="000000"/>
          <w:kern w:val="0"/>
          <w:sz w:val="24"/>
          <w:szCs w:val="24"/>
          <w:lang w:bidi="ar"/>
        </w:rPr>
        <w:t>备注：得分达到90分（含）以上的为合格。</w:t>
      </w:r>
    </w:p>
    <w:p w14:paraId="764EF3A9">
      <w:pPr>
        <w:pStyle w:val="2"/>
        <w:spacing w:line="3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评估人签字：  </w:t>
      </w:r>
    </w:p>
    <w:p w14:paraId="3AD53092">
      <w:pPr>
        <w:pStyle w:val="2"/>
        <w:rPr>
          <w:rFonts w:hint="eastAsia"/>
        </w:rPr>
      </w:pPr>
    </w:p>
    <w:p w14:paraId="0AF0AE1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A75E2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