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960D9">
      <w:pPr>
        <w:pStyle w:val="4"/>
        <w:widowControl/>
        <w:spacing w:before="0" w:beforeAutospacing="0" w:after="0" w:afterAutospacing="0" w:line="540" w:lineRule="exact"/>
        <w:ind w:left="0" w:leftChars="0" w:right="0"/>
        <w:rPr>
          <w:rFonts w:hint="eastAsia" w:ascii="方正黑体_GBK" w:hAnsi="方正黑体_GBK" w:eastAsia="方正黑体_GBK" w:cs="方正黑体_GBK"/>
          <w:sz w:val="32"/>
          <w:szCs w:val="32"/>
          <w:lang w:val="en-US"/>
        </w:rPr>
      </w:pPr>
    </w:p>
    <w:p w14:paraId="4CBD49D3">
      <w:pPr>
        <w:keepNext w:val="0"/>
        <w:keepLines w:val="0"/>
        <w:widowControl w:val="0"/>
        <w:suppressLineNumbers w:val="0"/>
        <w:spacing w:before="0" w:beforeAutospacing="0" w:after="0" w:afterAutospacing="0" w:line="540" w:lineRule="exact"/>
        <w:ind w:left="0" w:right="0"/>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《深圳市住房公积金管理委员会关于我市住房公积金利息补贴有关事项的通知》政策解读</w:t>
      </w:r>
    </w:p>
    <w:p w14:paraId="3678CCE8">
      <w:pPr>
        <w:keepNext w:val="0"/>
        <w:keepLines w:val="0"/>
        <w:widowControl w:val="0"/>
        <w:suppressLineNumbers w:val="0"/>
        <w:spacing w:before="0" w:beforeAutospacing="0" w:after="0" w:afterAutospacing="0" w:line="540" w:lineRule="exact"/>
        <w:ind w:left="0" w:right="0"/>
        <w:jc w:val="both"/>
        <w:rPr>
          <w:rFonts w:hint="eastAsia" w:ascii="宋体" w:hAnsi="宋体" w:eastAsia="宋体" w:cs="宋体"/>
          <w:b/>
          <w:bCs/>
          <w:sz w:val="44"/>
          <w:szCs w:val="44"/>
          <w:lang w:val="en-US"/>
        </w:rPr>
      </w:pPr>
    </w:p>
    <w:p w14:paraId="5DB97F82">
      <w:pPr>
        <w:keepNext w:val="0"/>
        <w:keepLines w:val="0"/>
        <w:widowControl w:val="0"/>
        <w:suppressLineNumbers w:val="0"/>
        <w:spacing w:before="0" w:beforeAutospacing="0" w:after="0" w:afterAutospacing="0" w:line="54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一、起草背景及必要性</w:t>
      </w:r>
    </w:p>
    <w:p w14:paraId="763DD913">
      <w:pPr>
        <w:pStyle w:val="2"/>
        <w:widowControl/>
        <w:spacing w:after="0" w:afterAutospacing="0" w:line="540" w:lineRule="exact"/>
        <w:ind w:left="0" w:firstLine="640" w:firstLineChars="200"/>
        <w:rPr>
          <w:rFonts w:hint="eastAsia" w:ascii="仿宋_GB2312" w:hAnsi="仿宋_GB2312" w:eastAsia="宋体" w:cs="仿宋_GB2312"/>
          <w:sz w:val="32"/>
          <w:szCs w:val="32"/>
          <w:lang w:val="en-US"/>
        </w:rPr>
      </w:pPr>
      <w:r>
        <w:rPr>
          <w:rFonts w:hint="eastAsia" w:ascii="仿宋_GB2312" w:eastAsia="仿宋_GB2312" w:cs="仿宋_GB2312"/>
          <w:sz w:val="32"/>
          <w:szCs w:val="32"/>
          <w:lang w:eastAsia="zh-CN"/>
        </w:rPr>
        <w:t>我市于</w:t>
      </w:r>
      <w:r>
        <w:rPr>
          <w:rFonts w:hint="eastAsia" w:ascii="仿宋_GB2312" w:eastAsia="仿宋_GB2312" w:cs="仿宋_GB2312"/>
          <w:sz w:val="32"/>
          <w:szCs w:val="32"/>
          <w:lang w:val="en-US"/>
        </w:rPr>
        <w:t>2012</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rPr>
        <w:t>12</w:t>
      </w:r>
      <w:r>
        <w:rPr>
          <w:rFonts w:hint="eastAsia" w:ascii="仿宋_GB2312" w:eastAsia="仿宋_GB2312" w:cs="仿宋_GB2312"/>
          <w:sz w:val="32"/>
          <w:szCs w:val="32"/>
          <w:lang w:val="en-US" w:eastAsia="zh-CN"/>
        </w:rPr>
        <w:t>月出台</w:t>
      </w:r>
      <w:r>
        <w:rPr>
          <w:rFonts w:hint="eastAsia" w:ascii="仿宋_GB2312" w:hAnsi="仿宋_GB2312" w:eastAsia="仿宋_GB2312" w:cs="仿宋_GB2312"/>
          <w:sz w:val="32"/>
          <w:szCs w:val="32"/>
          <w:shd w:val="clear" w:fill="FFFFFF"/>
          <w:lang w:eastAsia="zh-CN"/>
        </w:rPr>
        <w:t>《关于住房公积金利息补贴有关事宜的通知》（</w:t>
      </w:r>
      <w:r>
        <w:rPr>
          <w:rFonts w:hint="eastAsia" w:ascii="仿宋_GB2312" w:eastAsia="仿宋_GB2312" w:cs="仿宋_GB2312"/>
          <w:sz w:val="32"/>
          <w:szCs w:val="32"/>
          <w:lang w:eastAsia="zh-CN"/>
        </w:rPr>
        <w:t>深公积金委</w:t>
      </w:r>
      <w:r>
        <w:rPr>
          <w:rFonts w:hint="eastAsia" w:ascii="仿宋_GB2312" w:hAnsi="仿宋_GB2312" w:eastAsia="仿宋_GB2312" w:cs="仿宋_GB2312"/>
          <w:sz w:val="32"/>
          <w:szCs w:val="32"/>
          <w:lang w:eastAsia="zh-CN"/>
        </w:rPr>
        <w:t>〔</w:t>
      </w:r>
      <w:r>
        <w:rPr>
          <w:rFonts w:hint="eastAsia" w:ascii="仿宋_GB2312" w:eastAsia="仿宋_GB2312" w:cs="仿宋_GB2312"/>
          <w:sz w:val="32"/>
          <w:szCs w:val="32"/>
          <w:lang w:val="en-US"/>
        </w:rPr>
        <w:t>2012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号，以下简称《通知》）</w:t>
      </w:r>
      <w:r>
        <w:rPr>
          <w:rFonts w:hint="eastAsia" w:ascii="仿宋_GB2312" w:eastAsia="仿宋_GB2312" w:cs="仿宋_GB2312"/>
          <w:sz w:val="32"/>
          <w:szCs w:val="32"/>
          <w:lang w:eastAsia="zh-CN"/>
        </w:rPr>
        <w:t>，明确对缴存住房公积金累计达到一年以上，且未曾使用过住房公积金贷款的职工，在销户提取时，以历年结息总额（含销户利息）为基数，按照缴存年限的长短，给予</w:t>
      </w:r>
      <w:r>
        <w:rPr>
          <w:rFonts w:hint="eastAsia" w:ascii="仿宋_GB2312" w:eastAsia="仿宋_GB2312" w:cs="仿宋_GB2312"/>
          <w:sz w:val="32"/>
          <w:szCs w:val="32"/>
          <w:lang w:val="en-US"/>
        </w:rPr>
        <w:t>5%</w:t>
      </w:r>
      <w:r>
        <w:rPr>
          <w:rFonts w:hint="eastAsia" w:ascii="仿宋_GB2312" w:hAnsi="仿宋_GB2312" w:eastAsia="仿宋_GB2312" w:cs="仿宋_GB2312"/>
          <w:sz w:val="32"/>
          <w:szCs w:val="32"/>
          <w:lang w:eastAsia="zh-CN"/>
        </w:rPr>
        <w:t>～</w:t>
      </w:r>
      <w:r>
        <w:rPr>
          <w:rFonts w:hint="eastAsia" w:ascii="仿宋_GB2312" w:eastAsia="仿宋_GB2312" w:cs="仿宋_GB2312"/>
          <w:sz w:val="32"/>
          <w:szCs w:val="32"/>
          <w:lang w:val="en-US"/>
        </w:rPr>
        <w:t>12%</w:t>
      </w:r>
      <w:r>
        <w:rPr>
          <w:rFonts w:hint="eastAsia" w:ascii="仿宋_GB2312" w:eastAsia="仿宋_GB2312" w:cs="仿宋_GB2312"/>
          <w:sz w:val="32"/>
          <w:szCs w:val="32"/>
          <w:lang w:eastAsia="zh-CN"/>
        </w:rPr>
        <w:t>的利息补贴。《通知》施行以来获得</w:t>
      </w:r>
      <w:r>
        <w:rPr>
          <w:rFonts w:hint="eastAsia" w:ascii="仿宋_GB2312" w:hAnsi="仿宋_GB2312" w:eastAsia="仿宋_GB2312" w:cs="仿宋_GB2312"/>
          <w:sz w:val="32"/>
          <w:szCs w:val="32"/>
          <w:lang w:eastAsia="zh-CN"/>
        </w:rPr>
        <w:t>各方好评，但仍存在实际补贴力度偏小的问题。为</w:t>
      </w:r>
      <w:r>
        <w:rPr>
          <w:rFonts w:hint="eastAsia" w:ascii="仿宋_GB2312" w:eastAsia="仿宋_GB2312" w:cs="仿宋_GB2312"/>
          <w:sz w:val="32"/>
          <w:szCs w:val="32"/>
          <w:lang w:eastAsia="zh-CN"/>
        </w:rPr>
        <w:t>进一步加大对职工的利息补贴力度，</w:t>
      </w:r>
      <w:r>
        <w:rPr>
          <w:rFonts w:hint="eastAsia" w:ascii="仿宋_GB2312" w:hAnsi="仿宋_GB2312" w:eastAsia="仿宋_GB2312" w:cs="仿宋_GB2312"/>
          <w:sz w:val="32"/>
          <w:szCs w:val="32"/>
          <w:lang w:eastAsia="zh-CN"/>
        </w:rPr>
        <w:t>亟需修订和完善《通知》相关内容</w:t>
      </w:r>
      <w:r>
        <w:rPr>
          <w:rFonts w:hint="eastAsia" w:ascii="Calibri" w:hAnsi="Calibri" w:eastAsia="宋体" w:cs="宋体"/>
          <w:lang w:eastAsia="zh-CN"/>
        </w:rPr>
        <w:t>。</w:t>
      </w:r>
    </w:p>
    <w:p w14:paraId="7A4BF2A7">
      <w:pPr>
        <w:keepNext w:val="0"/>
        <w:keepLines w:val="0"/>
        <w:widowControl w:val="0"/>
        <w:suppressLineNumbers w:val="0"/>
        <w:spacing w:before="0" w:beforeAutospacing="0" w:after="0" w:afterAutospacing="0" w:line="54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二、主要内容</w:t>
      </w:r>
    </w:p>
    <w:p w14:paraId="216A3E49">
      <w:pPr>
        <w:pStyle w:val="2"/>
        <w:widowControl/>
        <w:spacing w:after="0" w:afterAutospacing="0" w:line="540" w:lineRule="exact"/>
        <w:ind w:lef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修订后的《通知》共</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项内容，分别为利息补贴条件、利息补贴方案以及其他事项。对照现行利息补贴政策，本次主要是提高了职工获得的利息补贴标准，继续沿用现行补贴比例的分档设置，提高每一档次的补贴比例：</w:t>
      </w:r>
    </w:p>
    <w:p w14:paraId="08B7DD82">
      <w:pPr>
        <w:pStyle w:val="2"/>
        <w:widowControl/>
        <w:spacing w:after="0" w:afterAutospacing="0" w:line="540" w:lineRule="exact"/>
        <w:ind w:lef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第一档为累计缴存期限在一年以上（含一年）五年以下的，按历年结息总额（含销户利息）的</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个百分点）补贴；</w:t>
      </w:r>
    </w:p>
    <w:p w14:paraId="0AE33F47">
      <w:pPr>
        <w:pStyle w:val="2"/>
        <w:widowControl/>
        <w:spacing w:after="0" w:afterAutospacing="0" w:line="540" w:lineRule="exact"/>
        <w:ind w:lef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第二档为累计缴存期限在五年以上（含五年）十年以下的，按历年结息总额（含销户利息）的</w:t>
      </w:r>
      <w:r>
        <w:rPr>
          <w:rFonts w:hint="eastAsia" w:ascii="仿宋_GB2312" w:hAnsi="仿宋_GB2312" w:eastAsia="仿宋_GB2312" w:cs="仿宋_GB2312"/>
          <w:sz w:val="32"/>
          <w:szCs w:val="32"/>
          <w:lang w:val="en-US"/>
        </w:rPr>
        <w:t>15%</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个百分点）补贴；</w:t>
      </w:r>
    </w:p>
    <w:p w14:paraId="2F773E91">
      <w:pPr>
        <w:pStyle w:val="2"/>
        <w:widowControl/>
        <w:spacing w:after="0" w:afterAutospacing="0" w:line="540" w:lineRule="exact"/>
        <w:ind w:left="0" w:firstLine="640" w:firstLineChars="200"/>
        <w:rPr>
          <w:rFonts w:hint="eastAsia" w:ascii="CESI仿宋-GB2312" w:hAnsi="CESI仿宋-GB2312" w:eastAsia="CESI仿宋-GB2312" w:cs="CESI仿宋-GB2312"/>
          <w:sz w:val="32"/>
          <w:szCs w:val="32"/>
          <w:lang w:val="en-US"/>
        </w:rPr>
      </w:pPr>
      <w:r>
        <w:rPr>
          <w:rFonts w:hint="eastAsia" w:ascii="仿宋_GB2312" w:hAnsi="仿宋_GB2312" w:eastAsia="仿宋_GB2312" w:cs="仿宋_GB2312"/>
          <w:sz w:val="32"/>
          <w:szCs w:val="32"/>
          <w:lang w:eastAsia="zh-CN"/>
        </w:rPr>
        <w:t>第三档为累计缴存期限在十年以上（含十年）的，按历年结息总额（含销户利息）的</w:t>
      </w:r>
      <w:r>
        <w:rPr>
          <w:rFonts w:hint="eastAsia" w:ascii="仿宋_GB2312" w:hAnsi="仿宋_GB2312" w:eastAsia="仿宋_GB2312" w:cs="仿宋_GB2312"/>
          <w:sz w:val="32"/>
          <w:szCs w:val="32"/>
          <w:lang w:val="en-US"/>
        </w:rPr>
        <w:t>20%</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lang w:val="en-US"/>
        </w:rPr>
        <w:t>8</w:t>
      </w:r>
      <w:r>
        <w:rPr>
          <w:rFonts w:hint="eastAsia" w:ascii="仿宋_GB2312" w:hAnsi="仿宋_GB2312" w:eastAsia="仿宋_GB2312" w:cs="仿宋_GB2312"/>
          <w:sz w:val="32"/>
          <w:szCs w:val="32"/>
          <w:lang w:eastAsia="zh-CN"/>
        </w:rPr>
        <w:t>个百分点）补贴。</w:t>
      </w:r>
    </w:p>
    <w:p w14:paraId="61C9BA17">
      <w:pPr>
        <w:keepNext w:val="0"/>
        <w:keepLines w:val="0"/>
        <w:widowControl w:val="0"/>
        <w:suppressLineNumbers w:val="0"/>
        <w:spacing w:before="0" w:beforeAutospacing="0" w:after="0" w:afterAutospacing="0"/>
        <w:ind w:left="0" w:right="0"/>
        <w:jc w:val="both"/>
        <w:rPr>
          <w:lang w:val="en-US"/>
        </w:rPr>
      </w:pPr>
    </w:p>
    <w:p w14:paraId="01D40C20">
      <w:bookmarkStart w:id="0" w:name="_GoBack"/>
      <w:bookmarkEnd w:id="0"/>
    </w:p>
    <w:sectPr>
      <w:pgSz w:w="11906" w:h="16838"/>
      <w:pgMar w:top="2098" w:right="1474" w:bottom="1984" w:left="1587"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fixed"/>
    <w:sig w:usb0="800002BF" w:usb1="38CF7CFA" w:usb2="00000016" w:usb3="00000000" w:csb0="00040001" w:csb1="00000000"/>
  </w:font>
  <w:font w:name="CESI仿宋-GB2312">
    <w:altName w:val="微软雅黑"/>
    <w:panose1 w:val="00000000000000000000"/>
    <w:charset w:val="86"/>
    <w:family w:val="auto"/>
    <w:pitch w:val="default"/>
    <w:sig w:usb0="00000000" w:usb1="084F6CF8" w:usb2="00000010" w:usb3="00000000" w:csb0="0004000F" w:csb1="00000000"/>
  </w:font>
  <w:font w:name="Cambria Math">
    <w:panose1 w:val="02040503050406030204"/>
    <w:charset w:val="00"/>
    <w:family w:val="auto"/>
    <w:pitch w:val="variable"/>
    <w:sig w:usb0="E00002FF" w:usb1="420024FF" w:usb2="00000000" w:usb3="00000000" w:csb0="2000019F" w:csb1="00000000"/>
  </w:font>
  <w:font w:name="方正小标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仿宋_GB2312">
    <w:altName w:val="仿宋"/>
    <w:panose1 w:val="00000000000000000000"/>
    <w:charset w:val="86"/>
    <w:family w:val="auto"/>
    <w:pitch w:val="default"/>
    <w:sig w:usb0="00000000"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黑体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仿宋_GB2312">
    <w:altName w:val="仿宋"/>
    <w:panose1 w:val="00000000000000000000"/>
    <w:charset w:val="86"/>
    <w:family w:val="auto"/>
    <w:pitch w:val="default"/>
    <w:sig w:usb0="00000000" w:usb1="080E0000" w:usb2="00000000" w:usb3="00000000" w:csb0="00040000" w:csb1="00000000"/>
  </w:font>
  <w:font w:name="@CESI仿宋-GB2312">
    <w:altName w:val="仿宋"/>
    <w:panose1 w:val="00000000000000000000"/>
    <w:charset w:val="86"/>
    <w:family w:val="auto"/>
    <w:pitch w:val="default"/>
    <w:sig w:usb0="00000000" w:usb1="084F6CF8" w:usb2="00000010" w:usb3="00000000" w:csb0="0004000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E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10"/>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bidi="ar"/>
    </w:rPr>
  </w:style>
  <w:style w:type="paragraph" w:styleId="3">
    <w:name w:val="Title"/>
    <w:basedOn w:val="1"/>
    <w:link w:val="9"/>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Indent 2"/>
    <w:basedOn w:val="1"/>
    <w:link w:val="11"/>
    <w:uiPriority w:val="0"/>
    <w:pPr>
      <w:keepNext w:val="0"/>
      <w:keepLines w:val="0"/>
      <w:widowControl w:val="0"/>
      <w:suppressLineNumbers w:val="0"/>
      <w:spacing w:before="0" w:beforeAutospacing="0" w:after="0" w:afterAutospacing="0" w:line="480" w:lineRule="auto"/>
      <w:ind w:left="420" w:leftChars="200" w:right="0"/>
      <w:jc w:val="both"/>
    </w:pPr>
    <w:rPr>
      <w:rFonts w:hint="default" w:ascii="Calibri" w:hAnsi="Calibri" w:eastAsia="宋体" w:cs="Times New Roman"/>
      <w:kern w:val="2"/>
      <w:sz w:val="21"/>
      <w:szCs w:val="24"/>
      <w:lang w:val="en-US" w:eastAsia="zh-CN" w:bidi="ar"/>
    </w:rPr>
  </w:style>
  <w:style w:type="paragraph" w:styleId="5">
    <w:name w:val="footer"/>
    <w:basedOn w:val="1"/>
    <w:link w:val="8"/>
    <w:uiPriority w:val="0"/>
    <w:pPr>
      <w:tabs>
        <w:tab w:val="center" w:pos="4153"/>
        <w:tab w:val="right" w:pos="8306"/>
      </w:tabs>
      <w:snapToGrid w:val="0"/>
      <w:jc w:val="left"/>
    </w:pPr>
    <w:rPr>
      <w:sz w:val="18"/>
    </w:rPr>
  </w:style>
  <w:style w:type="character" w:customStyle="1" w:styleId="8">
    <w:name w:val="页脚 Char"/>
    <w:basedOn w:val="7"/>
    <w:link w:val="5"/>
    <w:uiPriority w:val="0"/>
    <w:rPr>
      <w:kern w:val="2"/>
      <w:sz w:val="18"/>
      <w:szCs w:val="24"/>
    </w:rPr>
  </w:style>
  <w:style w:type="character" w:customStyle="1" w:styleId="9">
    <w:name w:val="标题 Char"/>
    <w:basedOn w:val="7"/>
    <w:link w:val="3"/>
    <w:uiPriority w:val="0"/>
    <w:rPr>
      <w:rFonts w:ascii="Cambria" w:hAnsi="Cambria" w:eastAsia="Cambria" w:cs="Times New Roman"/>
      <w:b/>
      <w:bCs/>
      <w:kern w:val="2"/>
      <w:sz w:val="32"/>
      <w:szCs w:val="32"/>
    </w:rPr>
  </w:style>
  <w:style w:type="character" w:customStyle="1" w:styleId="10">
    <w:name w:val="正文文本 Char"/>
    <w:basedOn w:val="7"/>
    <w:link w:val="2"/>
    <w:uiPriority w:val="0"/>
    <w:rPr>
      <w:kern w:val="2"/>
      <w:sz w:val="21"/>
      <w:szCs w:val="24"/>
    </w:rPr>
  </w:style>
  <w:style w:type="character" w:customStyle="1" w:styleId="11">
    <w:name w:val="正文文本缩进 2 Char"/>
    <w:basedOn w:val="7"/>
    <w:link w:val="4"/>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2025-03-21T06:19:32Z</dcterms:created>
  <dc:creator>yaorao</dc:creator>
  <cp:lastModifiedBy>yaorao</cp:lastModifiedBy>
  <dcterms:modified xsi:type="dcterms:W3CDTF">2025-03-21T06:19:54Z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18096C5FAB794504BF0BD5A4BDFF1944_12</vt:lpwstr>
  </property>
</Properties>
</file>