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52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Times New Roman" w:hAnsi="Times New Roman" w:eastAsia="方正小标宋简体"/>
          <w:color w:val="auto"/>
          <w:spacing w:val="-8"/>
          <w:sz w:val="44"/>
          <w:szCs w:val="44"/>
          <w:lang w:eastAsia="zh-CN"/>
        </w:rPr>
      </w:pPr>
    </w:p>
    <w:p w14:paraId="3951E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/>
          <w:color w:val="auto"/>
          <w:spacing w:val="-8"/>
          <w:sz w:val="32"/>
          <w:szCs w:val="32"/>
        </w:rPr>
      </w:pPr>
    </w:p>
    <w:p w14:paraId="22066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/>
          <w:color w:val="auto"/>
          <w:spacing w:val="-8"/>
          <w:sz w:val="32"/>
          <w:szCs w:val="32"/>
        </w:rPr>
      </w:pPr>
    </w:p>
    <w:p w14:paraId="7D8E7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8"/>
          <w:sz w:val="32"/>
          <w:szCs w:val="32"/>
        </w:rPr>
        <w:t>鲁人社字〔202</w:t>
      </w:r>
      <w:r>
        <w:rPr>
          <w:rFonts w:hint="eastAsia" w:ascii="仿宋_GB2312" w:hAnsi="仿宋_GB2312" w:eastAsia="仿宋_GB2312" w:cs="仿宋_GB2312"/>
          <w:color w:val="auto"/>
          <w:spacing w:val="-8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-8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pacing w:val="-8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pacing w:val="-8"/>
          <w:sz w:val="32"/>
          <w:szCs w:val="32"/>
        </w:rPr>
        <w:t>号</w:t>
      </w:r>
    </w:p>
    <w:p w14:paraId="5F468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小标宋简体"/>
          <w:color w:val="auto"/>
          <w:spacing w:val="-8"/>
          <w:sz w:val="32"/>
          <w:szCs w:val="32"/>
        </w:rPr>
      </w:pPr>
      <w:bookmarkStart w:id="0" w:name="_GoBack"/>
      <w:bookmarkEnd w:id="0"/>
    </w:p>
    <w:p w14:paraId="1E401D1C">
      <w:pPr>
        <w:pStyle w:val="5"/>
        <w:autoSpaceDE/>
        <w:autoSpaceDN/>
        <w:spacing w:line="5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4AFA979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</w:rPr>
        <w:t>山东省人力资源和社会保障厅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val="en-US" w:eastAsia="zh-CN"/>
        </w:rPr>
        <w:t>等4部门</w:t>
      </w:r>
    </w:p>
    <w:p w14:paraId="0770E26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关于开展试点建设“数智就业”</w:t>
      </w:r>
    </w:p>
    <w:p w14:paraId="7A46B67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服务区工作的通知</w:t>
      </w:r>
    </w:p>
    <w:p w14:paraId="50C32135">
      <w:pPr>
        <w:spacing w:line="560" w:lineRule="exact"/>
        <w:jc w:val="center"/>
        <w:rPr>
          <w:rFonts w:ascii="楷体_GB2312" w:hAnsi="楷体_GB2312" w:eastAsia="楷体_GB2312" w:cs="楷体_GB2312"/>
          <w:color w:val="auto"/>
          <w:sz w:val="32"/>
          <w:szCs w:val="32"/>
        </w:rPr>
      </w:pPr>
    </w:p>
    <w:p w14:paraId="4B803A82">
      <w:pPr>
        <w:spacing w:line="5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各市人力资源社会保障局、发展改革委、财政局、大数据局：</w:t>
      </w:r>
    </w:p>
    <w:p w14:paraId="00721ABB">
      <w:pPr>
        <w:spacing w:line="560" w:lineRule="exact"/>
        <w:ind w:firstLine="63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为深入贯彻习近平总书记关于促进高质量充分就业的重要指示精神，全面落实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党中央、国务院关于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实施就业优先战略促进高质量充分就业的决策部署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和省政府关于促进高质量充分就业的工作要求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，大力推行数字化智能化就业服务模式，决定自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始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在全省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优中选优，试点建设一批“数智就业”服务区（</w:t>
      </w:r>
      <w:r>
        <w:rPr>
          <w:rFonts w:hint="eastAsia" w:ascii="仿宋_GB2312" w:hAnsi="仿宋_GB2312" w:eastAsia="仿宋_GB2312" w:cs="仿宋_GB2312"/>
          <w:color w:val="auto"/>
          <w:sz w:val="32"/>
        </w:rPr>
        <w:t>以下简称服务区）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，力争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bidi="zh-TW"/>
        </w:rPr>
        <w:t>经过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bidi="zh-TW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  <w:lang w:bidi="zh-TW"/>
        </w:rPr>
        <w:t>年左右时间，推动服务区覆盖全省多数就业服务场所，做强做优山东“数智就业”特色服务品牌，构建全省线上场景服务与线下实景体验深度融合互动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bidi="zh-TW"/>
        </w:rPr>
        <w:t>、数智赋能的就业公共服务体系，打造算力、模型、数据、场景、产品协同发展的“数智就业”公共服务新生态。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现就有关事项通知如下：</w:t>
      </w:r>
    </w:p>
    <w:p w14:paraId="7C1FCBCA">
      <w:pPr>
        <w:spacing w:line="560" w:lineRule="exact"/>
        <w:ind w:firstLine="632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一、申报范围</w:t>
      </w:r>
    </w:p>
    <w:p w14:paraId="7169D130">
      <w:pPr>
        <w:spacing w:line="560" w:lineRule="exact"/>
        <w:ind w:firstLine="63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在全省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选取基础条件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优越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、数智就业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特色明显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、促进就业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效果良好</w:t>
      </w:r>
      <w:r>
        <w:rPr>
          <w:rFonts w:ascii="仿宋_GB2312" w:hAnsi="仿宋_GB2312" w:eastAsia="仿宋_GB2312" w:cs="仿宋_GB2312"/>
          <w:color w:val="auto"/>
          <w:sz w:val="32"/>
          <w:shd w:val="clear" w:color="auto" w:fill="FFFFFF"/>
        </w:rPr>
        <w:t>的市、县（市、区）人力资源社会保障部门和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普通高校、技工院校等，开展服务区试点建设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工作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。</w:t>
      </w:r>
    </w:p>
    <w:p w14:paraId="0A797FBC">
      <w:pPr>
        <w:spacing w:line="560" w:lineRule="exact"/>
        <w:ind w:firstLine="632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二、基本条件</w:t>
      </w:r>
    </w:p>
    <w:p w14:paraId="4750BEFD">
      <w:pPr>
        <w:spacing w:line="560" w:lineRule="exact"/>
        <w:ind w:firstLine="640"/>
        <w:rPr>
          <w:rFonts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bidi="zh-TW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服务区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bidi="zh-TW"/>
        </w:rPr>
        <w:t>运营管理要专业，数智场景呈多元，数据要素需活跃，示范作用可辐射。</w:t>
      </w:r>
    </w:p>
    <w:p w14:paraId="5195173B">
      <w:pPr>
        <w:spacing w:line="560" w:lineRule="exact"/>
        <w:ind w:firstLine="640"/>
        <w:rPr>
          <w:rFonts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bidi="zh-TW"/>
        </w:rPr>
      </w:pPr>
      <w:r>
        <w:rPr>
          <w:rFonts w:ascii="Times New Roman" w:hAnsi="Times New Roman" w:eastAsia="楷体_GB2312" w:cs="Times New Roman"/>
          <w:color w:val="auto"/>
          <w:sz w:val="32"/>
          <w:szCs w:val="32"/>
          <w:shd w:val="clear" w:color="auto" w:fill="FFFFFF"/>
          <w:lang w:bidi="zh-TW"/>
        </w:rPr>
        <w:t>（一）配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shd w:val="clear" w:color="auto" w:fill="FFFFFF"/>
          <w:lang w:bidi="zh-TW"/>
        </w:rPr>
        <w:t>备</w:t>
      </w:r>
      <w:r>
        <w:rPr>
          <w:rFonts w:ascii="Times New Roman" w:hAnsi="Times New Roman" w:eastAsia="楷体_GB2312" w:cs="Times New Roman"/>
          <w:color w:val="auto"/>
          <w:sz w:val="32"/>
          <w:szCs w:val="32"/>
          <w:shd w:val="clear" w:color="auto" w:fill="FFFFFF"/>
          <w:lang w:bidi="zh-TW"/>
        </w:rPr>
        <w:t>稳定专业的运营机构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shd w:val="clear" w:color="auto" w:fill="FFFFFF"/>
          <w:lang w:bidi="zh-TW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bidi="zh-TW"/>
        </w:rPr>
        <w:t>具有较强的运营管理能力，建有规范的管理制度和运营机制，设有固定的运营场所（可依托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 w:bidi="zh-TW"/>
        </w:rPr>
        <w:t>政务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服务大厅、就业创业赋能中心、零工市场、数字技术工程师培训机构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bidi="zh-TW"/>
        </w:rPr>
        <w:t>设立，也可单独设立，不搞重复建设），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bidi="zh-TW"/>
        </w:rPr>
        <w:t>配备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bidi="zh-TW"/>
        </w:rPr>
        <w:t>相应</w:t>
      </w:r>
      <w:r>
        <w:rPr>
          <w:rFonts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zh-TW" w:bidi="zh-TW"/>
        </w:rPr>
        <w:t>专业</w:t>
      </w:r>
      <w:r>
        <w:rPr>
          <w:rFonts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bidi="zh-TW"/>
        </w:rPr>
        <w:t>人员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bidi="zh-TW"/>
        </w:rPr>
        <w:t>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bidi="zh-TW"/>
        </w:rPr>
        <w:t>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bidi="zh-TW"/>
        </w:rPr>
        <w:t>办事群众和用人单位</w:t>
      </w:r>
      <w:r>
        <w:rPr>
          <w:rFonts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bidi="zh-TW"/>
        </w:rPr>
        <w:t>提供高效的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bidi="zh-TW"/>
        </w:rPr>
        <w:t>数智化就业服务。</w:t>
      </w:r>
    </w:p>
    <w:p w14:paraId="3250B683">
      <w:pPr>
        <w:spacing w:line="560" w:lineRule="exact"/>
        <w:ind w:firstLine="63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color w:val="auto"/>
          <w:sz w:val="32"/>
          <w:szCs w:val="32"/>
          <w:shd w:val="clear" w:color="auto" w:fill="FFFFFF"/>
          <w:lang w:bidi="zh-TW"/>
        </w:rPr>
        <w:t>（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shd w:val="clear" w:color="auto" w:fill="FFFFFF"/>
          <w:lang w:bidi="zh-TW"/>
        </w:rPr>
        <w:t>二</w:t>
      </w:r>
      <w:r>
        <w:rPr>
          <w:rFonts w:ascii="Times New Roman" w:hAnsi="Times New Roman" w:eastAsia="楷体_GB2312" w:cs="Times New Roman"/>
          <w:color w:val="auto"/>
          <w:sz w:val="32"/>
          <w:szCs w:val="32"/>
          <w:shd w:val="clear" w:color="auto" w:fill="FFFFFF"/>
          <w:lang w:bidi="zh-TW"/>
        </w:rPr>
        <w:t>）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shd w:val="clear" w:color="auto" w:fill="FFFFFF"/>
          <w:lang w:bidi="zh-TW"/>
        </w:rPr>
        <w:t>拥</w:t>
      </w:r>
      <w:r>
        <w:rPr>
          <w:rFonts w:ascii="Times New Roman" w:hAnsi="Times New Roman" w:eastAsia="楷体_GB2312" w:cs="Times New Roman"/>
          <w:color w:val="auto"/>
          <w:sz w:val="32"/>
          <w:szCs w:val="32"/>
          <w:shd w:val="clear" w:color="auto" w:fill="FFFFFF"/>
          <w:lang w:bidi="zh-TW"/>
        </w:rPr>
        <w:t>有丰富的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shd w:val="clear" w:color="auto" w:fill="FFFFFF"/>
          <w:lang w:bidi="zh-TW"/>
        </w:rPr>
        <w:t>“数智就业”场景。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鼓励使用面试机、模拟器等数字就业产品和现有就业服务平台，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bidi="zh-TW"/>
        </w:rPr>
        <w:t>面向在校大学生、离校未就业高校毕业生、农民工、登记失业人员、就业困难人员等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精准化、智能化服务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。人力资源社会保障部门建设的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服务区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bidi="zh-TW"/>
        </w:rPr>
        <w:t>每年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服务不少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于5000人次，普通高校、技工院校</w:t>
      </w:r>
      <w:r>
        <w:rPr>
          <w:rFonts w:hint="eastAsia" w:ascii="仿宋_GB2312" w:hAnsi="仿宋_GB2312" w:eastAsia="仿宋_GB2312" w:cs="仿宋_GB2312"/>
          <w:color w:val="auto"/>
          <w:sz w:val="32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建设的服务区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zh-TW"/>
        </w:rPr>
        <w:t>每年服务不少于3000人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次。</w:t>
      </w:r>
    </w:p>
    <w:p w14:paraId="6483E548">
      <w:pPr>
        <w:spacing w:line="560" w:lineRule="exact"/>
        <w:ind w:firstLine="63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color w:val="auto"/>
          <w:sz w:val="32"/>
          <w:szCs w:val="32"/>
          <w:shd w:val="clear" w:color="auto" w:fill="FFFFFF"/>
          <w:lang w:bidi="zh-TW"/>
        </w:rPr>
        <w:t>（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shd w:val="clear" w:color="auto" w:fill="FFFFFF"/>
          <w:lang w:bidi="zh-TW"/>
        </w:rPr>
        <w:t>三</w:t>
      </w:r>
      <w:r>
        <w:rPr>
          <w:rFonts w:ascii="Times New Roman" w:hAnsi="Times New Roman" w:eastAsia="楷体_GB2312" w:cs="Times New Roman"/>
          <w:color w:val="auto"/>
          <w:sz w:val="32"/>
          <w:szCs w:val="32"/>
          <w:shd w:val="clear" w:color="auto" w:fill="FFFFFF"/>
          <w:lang w:bidi="zh-TW"/>
        </w:rPr>
        <w:t>）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shd w:val="clear" w:color="auto" w:fill="FFFFFF"/>
          <w:lang w:bidi="zh-TW"/>
        </w:rPr>
        <w:t>具备</w:t>
      </w:r>
      <w:r>
        <w:rPr>
          <w:rFonts w:ascii="Times New Roman" w:hAnsi="Times New Roman" w:eastAsia="楷体_GB2312" w:cs="Times New Roman"/>
          <w:color w:val="auto"/>
          <w:sz w:val="32"/>
          <w:szCs w:val="32"/>
          <w:shd w:val="clear" w:color="auto" w:fill="FFFFFF"/>
          <w:lang w:bidi="zh-TW"/>
        </w:rPr>
        <w:t>较强的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shd w:val="clear" w:color="auto" w:fill="FFFFFF"/>
          <w:lang w:bidi="zh-TW"/>
        </w:rPr>
        <w:t>数据汇聚应用能力。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bidi="zh-TW"/>
        </w:rPr>
        <w:t>要对标业务主管部门要求，规范数据采集，确保信息准确有效。在确保数据安全的情况下，加强数据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共享，支持试点单位将自有数据汇聚至省级人力资源社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bidi="zh-TW"/>
        </w:rPr>
        <w:t>会保障部门，促进数据良性流动，推动本地、本领域等高质量就业数据归集。同时，鼓励试点单位积极利用汇聚数据，开展数据赋能的就业服务活动。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服务区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bidi="zh-TW"/>
        </w:rPr>
        <w:t>每年汇聚有效数据总量不少于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zh-TW"/>
        </w:rPr>
        <w:t>10000条。</w:t>
      </w:r>
    </w:p>
    <w:p w14:paraId="0AA3372F">
      <w:pPr>
        <w:pStyle w:val="9"/>
        <w:spacing w:beforeAutospacing="0" w:afterAutospacing="0" w:line="560" w:lineRule="exact"/>
        <w:ind w:firstLine="632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Times New Roman" w:hAnsi="Times New Roman" w:eastAsia="楷体_GB2312"/>
          <w:color w:val="auto"/>
          <w:kern w:val="2"/>
          <w:sz w:val="32"/>
          <w:szCs w:val="32"/>
          <w:shd w:val="clear" w:color="auto" w:fill="FFFFFF"/>
          <w:lang w:bidi="zh-TW"/>
        </w:rPr>
        <w:t>（</w:t>
      </w:r>
      <w:r>
        <w:rPr>
          <w:rFonts w:hint="eastAsia" w:ascii="Times New Roman" w:hAnsi="Times New Roman" w:eastAsia="楷体_GB2312"/>
          <w:color w:val="auto"/>
          <w:kern w:val="2"/>
          <w:sz w:val="32"/>
          <w:szCs w:val="32"/>
          <w:shd w:val="clear" w:color="auto" w:fill="FFFFFF"/>
          <w:lang w:bidi="zh-TW"/>
        </w:rPr>
        <w:t>四</w:t>
      </w:r>
      <w:r>
        <w:rPr>
          <w:rFonts w:ascii="Times New Roman" w:hAnsi="Times New Roman" w:eastAsia="楷体_GB2312"/>
          <w:color w:val="auto"/>
          <w:kern w:val="2"/>
          <w:sz w:val="32"/>
          <w:szCs w:val="32"/>
          <w:shd w:val="clear" w:color="auto" w:fill="FFFFFF"/>
          <w:lang w:bidi="zh-TW"/>
        </w:rPr>
        <w:t>）</w:t>
      </w:r>
      <w:r>
        <w:rPr>
          <w:rFonts w:hint="eastAsia" w:ascii="Times New Roman" w:hAnsi="Times New Roman" w:eastAsia="楷体_GB2312"/>
          <w:color w:val="auto"/>
          <w:kern w:val="2"/>
          <w:sz w:val="32"/>
          <w:szCs w:val="32"/>
          <w:shd w:val="clear" w:color="auto" w:fill="FFFFFF"/>
          <w:lang w:bidi="zh-TW"/>
        </w:rPr>
        <w:t>具</w:t>
      </w:r>
      <w:r>
        <w:rPr>
          <w:rFonts w:ascii="Times New Roman" w:hAnsi="Times New Roman" w:eastAsia="楷体_GB2312"/>
          <w:color w:val="auto"/>
          <w:kern w:val="2"/>
          <w:sz w:val="32"/>
          <w:szCs w:val="32"/>
          <w:shd w:val="clear" w:color="auto" w:fill="FFFFFF"/>
          <w:lang w:bidi="zh-TW"/>
        </w:rPr>
        <w:t>有</w:t>
      </w:r>
      <w:r>
        <w:rPr>
          <w:rFonts w:hint="eastAsia" w:ascii="Times New Roman" w:hAnsi="Times New Roman" w:eastAsia="楷体_GB2312"/>
          <w:color w:val="auto"/>
          <w:kern w:val="2"/>
          <w:sz w:val="32"/>
          <w:szCs w:val="32"/>
          <w:shd w:val="clear" w:color="auto" w:fill="FFFFFF"/>
          <w:lang w:bidi="zh-TW"/>
        </w:rPr>
        <w:t>良好</w:t>
      </w:r>
      <w:r>
        <w:rPr>
          <w:rFonts w:ascii="Times New Roman" w:hAnsi="Times New Roman" w:eastAsia="楷体_GB2312"/>
          <w:color w:val="auto"/>
          <w:kern w:val="2"/>
          <w:sz w:val="32"/>
          <w:szCs w:val="32"/>
          <w:shd w:val="clear" w:color="auto" w:fill="FFFFFF"/>
          <w:lang w:bidi="zh-TW"/>
        </w:rPr>
        <w:t>的示范引领作用</w:t>
      </w:r>
      <w:r>
        <w:rPr>
          <w:rFonts w:hint="eastAsia" w:ascii="Times New Roman" w:hAnsi="Times New Roman" w:eastAsia="楷体_GB2312"/>
          <w:color w:val="auto"/>
          <w:kern w:val="2"/>
          <w:sz w:val="32"/>
          <w:szCs w:val="32"/>
          <w:shd w:val="clear" w:color="auto" w:fill="FFFFFF"/>
          <w:lang w:bidi="zh-TW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服务区</w:t>
      </w:r>
      <w:r>
        <w:rPr>
          <w:rFonts w:hint="eastAsia" w:ascii="Times New Roman" w:hAnsi="Times New Roman" w:eastAsia="仿宋_GB2312"/>
          <w:color w:val="auto"/>
          <w:kern w:val="2"/>
          <w:sz w:val="32"/>
          <w:szCs w:val="32"/>
          <w:shd w:val="clear" w:color="auto" w:fill="FFFFFF"/>
          <w:lang w:bidi="zh-TW"/>
        </w:rPr>
        <w:t>能够推动数据资源、算法模型、智能设备有效汇集。能够推动大胆探索、主动创新，形成一</w:t>
      </w:r>
      <w:r>
        <w:rPr>
          <w:rFonts w:ascii="Times New Roman" w:hAnsi="Times New Roman" w:eastAsia="仿宋_GB2312"/>
          <w:color w:val="auto"/>
          <w:kern w:val="2"/>
          <w:sz w:val="32"/>
          <w:szCs w:val="32"/>
          <w:shd w:val="clear" w:color="auto" w:fill="FFFFFF"/>
          <w:lang w:bidi="zh-TW"/>
        </w:rPr>
        <w:t>批可复制、可推广的经验做法</w:t>
      </w:r>
      <w:r>
        <w:rPr>
          <w:rFonts w:hint="eastAsia" w:ascii="Times New Roman" w:hAnsi="Times New Roman" w:eastAsia="仿宋_GB2312"/>
          <w:color w:val="auto"/>
          <w:kern w:val="2"/>
          <w:sz w:val="32"/>
          <w:szCs w:val="32"/>
          <w:shd w:val="clear" w:color="auto" w:fill="FFFFFF"/>
          <w:lang w:bidi="zh-TW"/>
        </w:rPr>
        <w:t>。能够充分发挥“智慧人社”一体化平台创新区建设先行探路、</w:t>
      </w:r>
      <w:r>
        <w:rPr>
          <w:rFonts w:ascii="Times New Roman" w:hAnsi="Times New Roman" w:eastAsia="仿宋_GB2312"/>
          <w:color w:val="auto"/>
          <w:kern w:val="2"/>
          <w:sz w:val="32"/>
          <w:szCs w:val="32"/>
          <w:shd w:val="clear" w:color="auto" w:fill="FFFFFF"/>
          <w:lang w:bidi="zh-TW"/>
        </w:rPr>
        <w:t>示范引领作用</w:t>
      </w:r>
      <w:r>
        <w:rPr>
          <w:rFonts w:hint="eastAsia" w:ascii="Times New Roman" w:hAnsi="Times New Roman" w:eastAsia="仿宋_GB2312"/>
          <w:color w:val="auto"/>
          <w:kern w:val="2"/>
          <w:sz w:val="32"/>
          <w:szCs w:val="32"/>
          <w:shd w:val="clear" w:color="auto" w:fill="FFFFFF"/>
          <w:lang w:bidi="zh-TW"/>
        </w:rPr>
        <w:t>，营造全省数智化高质量就业公共服务的浓厚</w:t>
      </w:r>
      <w:r>
        <w:rPr>
          <w:rFonts w:ascii="Times New Roman" w:hAnsi="Times New Roman" w:eastAsia="仿宋_GB2312"/>
          <w:color w:val="auto"/>
          <w:kern w:val="2"/>
          <w:sz w:val="32"/>
          <w:szCs w:val="32"/>
          <w:shd w:val="clear" w:color="auto" w:fill="FFFFFF"/>
          <w:lang w:bidi="zh-TW"/>
        </w:rPr>
        <w:t>氛围</w:t>
      </w:r>
      <w:r>
        <w:rPr>
          <w:rFonts w:hint="eastAsia" w:ascii="Times New Roman" w:hAnsi="Times New Roman" w:eastAsia="仿宋_GB2312"/>
          <w:color w:val="auto"/>
          <w:kern w:val="2"/>
          <w:sz w:val="32"/>
          <w:szCs w:val="32"/>
          <w:shd w:val="clear" w:color="auto" w:fill="FFFFFF"/>
          <w:lang w:bidi="zh-TW"/>
        </w:rPr>
        <w:t>。</w:t>
      </w:r>
    </w:p>
    <w:p w14:paraId="57424571">
      <w:pPr>
        <w:spacing w:line="560" w:lineRule="exact"/>
        <w:ind w:firstLine="640"/>
        <w:rPr>
          <w:rFonts w:ascii="仿宋_GB2312" w:hAnsi="仿宋_GB2312" w:eastAsia="仿宋_GB2312" w:cs="仿宋_GB2312"/>
          <w:color w:val="auto"/>
          <w:sz w:val="32"/>
          <w:szCs w:val="32"/>
          <w:highlight w:val="yellow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三、服务功能</w:t>
      </w:r>
    </w:p>
    <w:p w14:paraId="5C5B56F7">
      <w:pPr>
        <w:spacing w:line="560" w:lineRule="exact"/>
        <w:ind w:firstLine="632" w:firstLineChars="200"/>
        <w:rPr>
          <w:rFonts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bidi="zh-TW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各服务区要</w:t>
      </w:r>
      <w:r>
        <w:rPr>
          <w:rFonts w:hint="eastAsia" w:ascii="仿宋_GB2312" w:hAnsi="仿宋_GB2312" w:eastAsia="仿宋_GB2312" w:cs="仿宋_GB2312"/>
          <w:color w:val="auto"/>
          <w:sz w:val="32"/>
        </w:rPr>
        <w:t>推动大数据、区块链、人工智能等技术在促进高质量充分就业中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的广泛应用，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bidi="zh-TW"/>
        </w:rPr>
        <w:t>打造本地化特色化人工智能创新应用场景，不断提高“智就”“智服”能力。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人力资源社会保障部门建设的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服务区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bidi="zh-TW"/>
        </w:rPr>
        <w:t>以全省“智慧人社”一体化建设为统领，强化省级集中信息平台和“回流”数据的应用，在全省统一业务标准和数据标准基础上，规范开展就业登记、失业登记、就业创业补贴申领、参保登记、失业金申领等服务，准确采集数据信息，推动服务同源、数据同标。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服务区在申报年度内至少能够实现下列5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bidi="zh-TW"/>
        </w:rPr>
        <w:t>个以上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（含5个）“数智就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bidi="zh-TW"/>
        </w:rPr>
        <w:t>业”服务功能。</w:t>
      </w:r>
    </w:p>
    <w:p w14:paraId="014B51EC">
      <w:pPr>
        <w:widowControl/>
        <w:spacing w:line="560" w:lineRule="exact"/>
        <w:ind w:firstLine="632" w:firstLineChars="200"/>
        <w:jc w:val="left"/>
        <w:rPr>
          <w:rFonts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（一）业务经办。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面向办事群众和用人单位等，依托省级集中信息平台提供标准化就业创业服务，同时引入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智能客服、数字人等人机协同产品，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依据个人、单位基础信息数据或利用生物识别技术等，智能辅助业务表单填报，探索开展全流程智能办理和审核，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构建“实体+云端”融合服务矩阵，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提升就业服务质效。</w:t>
      </w:r>
    </w:p>
    <w:p w14:paraId="6ED24889">
      <w:pPr>
        <w:spacing w:line="560" w:lineRule="exact"/>
        <w:ind w:firstLine="63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（二）政策服务。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汇聚各类就业创业政策资源，建立政策解读库，智能抓取政策享受条件、享受对象和经办流程等信息，做准、做实、做全服务对象底数，识别服务对象政策需求，利用智能化自助终端或平台，为劳动者提供高效便捷政策推送等服务，推进“人找政策”向“政策找人”转变。</w:t>
      </w:r>
    </w:p>
    <w:p w14:paraId="71343900">
      <w:pPr>
        <w:spacing w:line="560" w:lineRule="exact"/>
        <w:ind w:firstLine="63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（三）就业指导。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展求职者素质能力、职业发展方向、职业性格等测评服务，根据就业需求等信息，综合评价职业能力和收入水平，智能开展职业诊断、职业辅导等。运用大数据分析、专家研判等方法，构建不同岗位职业路径图谱，利用人工智能技术全真模拟职业体验，智能展现求职者职业发展通道，科学规划求职者职业生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涯。</w:t>
      </w:r>
    </w:p>
    <w:p w14:paraId="39B0C1B1">
      <w:pPr>
        <w:spacing w:line="560" w:lineRule="exact"/>
        <w:ind w:firstLine="63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（四）创业扶持。</w:t>
      </w:r>
      <w:r>
        <w:rPr>
          <w:rFonts w:hint="eastAsia" w:ascii="仿宋_GB2312" w:hAnsi="仿宋_GB2312" w:eastAsia="仿宋_GB2312" w:cs="仿宋_GB2312"/>
          <w:color w:val="auto"/>
          <w:sz w:val="32"/>
        </w:rPr>
        <w:t>利用省级集中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信息平台，统筹提供创业补贴、创业担保贷款等服务。汇聚创业资金、政策和服务等，为创业者提供创业所需各类资源。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以创业全生命周期为主线，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利用虚拟现实、人工智能等技术，提供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思维启蒙、企业注册、市场营销、企业管理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、成果转化、法律援助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创业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场景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，开展创业能力评估，打造“沉浸体验、智能评估、数据闭环”的创业空间，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切实帮助创业者增强创业储备。</w:t>
      </w:r>
    </w:p>
    <w:p w14:paraId="5A1CBDE7">
      <w:pPr>
        <w:spacing w:line="560" w:lineRule="exact"/>
        <w:ind w:firstLine="63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（五）技能提升。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设具备培训服务、业务管理、决策分析等功能的“综合职业培训服务专栏”，丰富完善以职业培训为逻辑起点的用工指导、公益课堂等服务场景，加强职业技能培训监管服务，整合优化职业院校、技工院校、培训机构等资源，推行职业培训地图，动态归集参训人员参加培训、获取证书、就业参保等信息，推动建立劳动者终身职业技能培训电子档案。</w:t>
      </w:r>
    </w:p>
    <w:p w14:paraId="6CBFACC2">
      <w:pPr>
        <w:spacing w:line="560" w:lineRule="exact"/>
        <w:ind w:firstLine="63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（六）供需匹配。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使</w:t>
      </w:r>
      <w:r>
        <w:rPr>
          <w:rFonts w:hint="eastAsia" w:ascii="仿宋_GB2312" w:hAnsi="仿宋_GB2312" w:eastAsia="仿宋_GB2312" w:cs="仿宋_GB2312"/>
          <w:color w:val="auto"/>
          <w:sz w:val="32"/>
        </w:rPr>
        <w:t>用省级集中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信息平台统一归集、发布求职招聘信息。依托线上或虚拟招聘空间，基于回流数据和共享数据，利用人员画像模型、单位画像模型、岗位分析模型、人力资源供需分析模型等快速识别招聘需求和求职意向等，协助用人单位、求职者智能生成、优化招聘公告和求职简历，实现人岗精准化匹配、信息智能化推送。</w:t>
      </w:r>
    </w:p>
    <w:p w14:paraId="3AA82898">
      <w:pPr>
        <w:spacing w:line="560" w:lineRule="exact"/>
        <w:ind w:firstLine="63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（七）就业帮扶。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基于</w:t>
      </w:r>
      <w:r>
        <w:rPr>
          <w:rFonts w:hint="eastAsia" w:ascii="仿宋_GB2312" w:hAnsi="仿宋_GB2312" w:eastAsia="仿宋_GB2312" w:cs="仿宋_GB2312"/>
          <w:color w:val="auto"/>
          <w:sz w:val="32"/>
        </w:rPr>
        <w:t>高校毕业生、农民工、登记失业人员、就业困难人员等重点群体基本情况、技能状况和需求信息，使用大数据挖掘等技术进行分类画像，依据不同就业困难类型和程度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自动触发推送相应帮扶措施。</w:t>
      </w:r>
    </w:p>
    <w:p w14:paraId="757E92A4">
      <w:pPr>
        <w:spacing w:line="560" w:lineRule="exact"/>
        <w:ind w:firstLine="63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（八）就业监测。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结合业务经办、就业登记、失业登记、社保缴纳、市场供需以及宏观经济、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移动通信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</w:rPr>
        <w:t>大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数据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，开展就业失业状况、企业用工情况、</w:t>
      </w:r>
      <w:r>
        <w:rPr>
          <w:rFonts w:hint="eastAsia" w:ascii="仿宋_GB2312" w:hAnsi="仿宋" w:eastAsia="仿宋_GB2312"/>
          <w:color w:val="auto"/>
          <w:sz w:val="32"/>
        </w:rPr>
        <w:t>急需紧缺工种、资金使用等信息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监测，及时掌握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就业服务、就业补助资金等落实情况，构建就业形势分析研判、就业政策效果评估等模型，打造全面、直观、可视化的综合驾驶舱，实现大屏全息查询、数据解读、主题切换、专题钻取等功能，有效辅助决策。</w:t>
      </w:r>
    </w:p>
    <w:p w14:paraId="6D0BED9D">
      <w:pPr>
        <w:spacing w:line="560" w:lineRule="exact"/>
        <w:ind w:firstLine="64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四、组织实施</w:t>
      </w:r>
    </w:p>
    <w:p w14:paraId="5E762E15">
      <w:pPr>
        <w:pStyle w:val="9"/>
        <w:spacing w:beforeAutospacing="0" w:afterAutospacing="0" w:line="560" w:lineRule="exact"/>
        <w:ind w:firstLine="632" w:firstLineChars="200"/>
        <w:jc w:val="both"/>
        <w:rPr>
          <w:rFonts w:ascii="Times New Roman" w:hAnsi="Times New Roman" w:eastAsia="仿宋_GB2312"/>
          <w:color w:val="auto"/>
          <w:kern w:val="2"/>
          <w:sz w:val="32"/>
          <w:szCs w:val="32"/>
          <w:shd w:val="clear" w:color="auto" w:fill="FFFFFF"/>
          <w:lang w:bidi="zh-TW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（一）申报推荐。</w:t>
      </w:r>
      <w:r>
        <w:rPr>
          <w:rFonts w:hint="eastAsia" w:ascii="Times New Roman" w:hAnsi="Times New Roman" w:eastAsia="仿宋_GB2312"/>
          <w:color w:val="auto"/>
          <w:kern w:val="2"/>
          <w:sz w:val="32"/>
          <w:szCs w:val="32"/>
          <w:shd w:val="clear" w:color="auto" w:fill="FFFFFF"/>
          <w:lang w:bidi="zh-TW"/>
        </w:rPr>
        <w:t>鼓励基础好、技术强、服务效果明显的有关单位自愿申请试点。各市人力资源社会保障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局于3月7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日前将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本市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拟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申请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试点建设“数智就业”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服务区</w:t>
      </w:r>
      <w:r>
        <w:rPr>
          <w:rFonts w:hint="eastAsia" w:ascii="Times New Roman" w:hAnsi="Times New Roman" w:eastAsia="仿宋_GB2312"/>
          <w:color w:val="auto"/>
          <w:kern w:val="2"/>
          <w:sz w:val="32"/>
          <w:szCs w:val="32"/>
          <w:shd w:val="clear" w:color="auto" w:fill="FFFFFF"/>
          <w:lang w:bidi="zh-TW"/>
        </w:rPr>
        <w:t>的申报单位及其申报表报省人力资源社会保障厅（模板见附件），省属普通高校、厅属技工院校直接报省人力资源社会保障厅。</w:t>
      </w:r>
    </w:p>
    <w:p w14:paraId="04C1B670">
      <w:pPr>
        <w:pStyle w:val="9"/>
        <w:spacing w:beforeAutospacing="0" w:afterAutospacing="0" w:line="560" w:lineRule="exact"/>
        <w:ind w:firstLine="632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（二）确定试点。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省人力资源社会保障厅将会同省发展改革</w:t>
      </w:r>
      <w:r>
        <w:rPr>
          <w:rFonts w:hint="eastAsia" w:ascii="Times New Roman" w:hAnsi="Times New Roman" w:eastAsia="仿宋_GB2312"/>
          <w:color w:val="auto"/>
          <w:sz w:val="32"/>
          <w:shd w:val="clear" w:color="auto" w:fill="FFFFFF"/>
          <w:lang w:bidi="zh-TW"/>
        </w:rPr>
        <w:t>委员会、财政厅、大数据局根据申报情况，组织有关专家进行评审，按程序研究并公示后发文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确定2025年试点建设单</w:t>
      </w:r>
      <w:r>
        <w:rPr>
          <w:rFonts w:hint="eastAsia" w:ascii="Times New Roman" w:hAnsi="Times New Roman" w:eastAsia="仿宋_GB2312"/>
          <w:color w:val="auto"/>
          <w:kern w:val="2"/>
          <w:sz w:val="32"/>
          <w:szCs w:val="32"/>
          <w:shd w:val="clear" w:color="auto" w:fill="FFFFFF"/>
          <w:lang w:bidi="zh-TW"/>
        </w:rPr>
        <w:t>位名单。</w:t>
      </w:r>
    </w:p>
    <w:p w14:paraId="72C076D1">
      <w:pPr>
        <w:pStyle w:val="14"/>
        <w:spacing w:line="560" w:lineRule="exact"/>
        <w:ind w:firstLine="632" w:firstLineChars="200"/>
        <w:rPr>
          <w:rFonts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Times New Roman" w:hAnsi="Times New Roman" w:eastAsia="楷体_GB2312" w:cs="Times New Roman"/>
          <w:color w:val="auto"/>
          <w:sz w:val="32"/>
          <w:shd w:val="clear" w:color="auto" w:fill="FFFFFF"/>
          <w:lang w:val="en-US" w:eastAsia="zh-CN"/>
        </w:rPr>
        <w:t>推进建设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  <w:lang w:val="en-US" w:eastAsia="zh-CN"/>
        </w:rPr>
        <w:t>试点名单公布后，</w:t>
      </w:r>
      <w:r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  <w:lang w:val="en-US"/>
        </w:rPr>
        <w:t>试点建设单位要按照项目申报内容组织开展建设。</w:t>
      </w:r>
      <w:r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  <w:lang w:val="en-US" w:eastAsia="zh-CN"/>
        </w:rPr>
        <w:t>试点</w:t>
      </w:r>
      <w:r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  <w:lang w:val="en-US"/>
        </w:rPr>
        <w:t>建设</w:t>
      </w:r>
      <w:r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  <w:lang w:val="en-US" w:eastAsia="zh-CN"/>
        </w:rPr>
        <w:t>单位所在市人力资源社会保障局要会同市发展改革委员会、财政局、大数据局，统筹做好各项工作，加大政策、服务、活动、设备等资源的投入，共同解决问题难点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，推进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服务区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有力有序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建设。</w:t>
      </w:r>
    </w:p>
    <w:p w14:paraId="6B664031">
      <w:pPr>
        <w:pStyle w:val="14"/>
        <w:spacing w:line="560" w:lineRule="exact"/>
        <w:ind w:firstLine="63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（四）验收评估。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服务区</w:t>
      </w:r>
      <w:r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  <w:lang w:val="en-US" w:eastAsia="zh-CN"/>
        </w:rPr>
        <w:t>建设任务完成后要及时进行总结，形成报告报省人力资源社会保障厅。省人力资源社会保障厅将会同省发展改革委员会、财政厅、大数据局等部门组织专业力量对服务区建设成效进行验收评估。</w:t>
      </w:r>
    </w:p>
    <w:p w14:paraId="4E632836">
      <w:pPr>
        <w:spacing w:line="560" w:lineRule="exact"/>
        <w:ind w:firstLine="632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五、保障措施</w:t>
      </w:r>
    </w:p>
    <w:p w14:paraId="3D1DFB7F">
      <w:pPr>
        <w:spacing w:line="560" w:lineRule="exact"/>
        <w:ind w:firstLine="632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省人力资源社会保</w:t>
      </w:r>
      <w:r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  <w:lang w:bidi="zh-TW"/>
        </w:rPr>
        <w:t>障厅将会同省发展改革委员会、财政厅、大数据局建立定期会商机制，及时跟踪，实地指导，确保试点建设落地见效。省人力资源社会保障厅将组建省“数智就业”专家服务团，为全省就业创业工作人员和服务区建设等增智赋能。探索开发数智生涯测评、数智职业规划、数智技能培训、数智就业推介等一批专项职业能力考核项目，鼓励全省人力资源社会保障部门、普通高校、技工院校、人力资源服务机构等就业创业工作人员参加职业技能培训评价项目。全省各级各类就业创业工作人员参加数字技术工程师培育项目后，取得数字技术工程师初、中级专业技术等级证书的可直接认定相应级别职称，取得高级专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bidi="zh-TW"/>
        </w:rPr>
        <w:t>技术等级证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 w:bidi="zh-TW"/>
        </w:rPr>
        <w:t>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bidi="zh-TW"/>
        </w:rPr>
        <w:t>的可作为其申报高级职称的业绩成果条件。省发展改革委将会同省人力资源社会保障厅等部门对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zh-TW"/>
        </w:rPr>
        <w:t>建设工作成效明显、符合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bidi="zh-TW"/>
        </w:rPr>
        <w:t>条件的试点单位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服务区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bidi="zh-TW"/>
        </w:rPr>
        <w:t>内的基础设施项目给予重点支持。各市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zh-TW"/>
        </w:rPr>
        <w:t>要对申报单位基础条件、建设内容、服务能力等认真审核、严格把关，依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bidi="zh-TW"/>
        </w:rPr>
        <w:t>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zh-TW"/>
        </w:rPr>
        <w:t>鲁财社〔2024〕55号和鲁财社〔2024〕56号等文件要求，加大资金投入力度。试点建设单位要根据自身财力，科学合理规划服务区建设，强化场地设施、数据资源和应用平台的安全保障能力，守牢安全底线。各有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bidi="zh-TW"/>
        </w:rPr>
        <w:t>关部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zh-TW"/>
        </w:rPr>
        <w:t>门要积极开展区域间“数智就业”交流观摩活动等，宣传推广工作进展和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成效，有力推动全省“数智就业”工作实现均衡化、高质量发展。</w:t>
      </w:r>
    </w:p>
    <w:p w14:paraId="1674CCEA">
      <w:pPr>
        <w:widowControl/>
        <w:spacing w:line="560" w:lineRule="exact"/>
        <w:ind w:firstLine="632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联系人：张宝惠、田静</w:t>
      </w:r>
    </w:p>
    <w:p w14:paraId="7B4B584F">
      <w:pPr>
        <w:spacing w:line="560" w:lineRule="exact"/>
        <w:ind w:firstLine="632" w:firstLineChars="200"/>
        <w:rPr>
          <w:rFonts w:ascii="仿宋_GB2312" w:hAnsi="仿宋_GB2312" w:eastAsia="仿宋_GB2312" w:cs="仿宋_GB2312"/>
          <w:color w:val="auto"/>
          <w:sz w:val="32"/>
          <w:szCs w:val="32"/>
          <w:lang w:bidi="zh-TW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zh-TW"/>
        </w:rPr>
        <w:t>0531-51788387</w:t>
      </w:r>
    </w:p>
    <w:p w14:paraId="69017520">
      <w:pPr>
        <w:spacing w:line="560" w:lineRule="exact"/>
        <w:ind w:firstLine="632" w:firstLineChars="200"/>
        <w:rPr>
          <w:rFonts w:ascii="仿宋_GB2312" w:hAnsi="仿宋_GB2312" w:eastAsia="仿宋_GB2312" w:cs="仿宋_GB2312"/>
          <w:color w:val="auto"/>
          <w:sz w:val="32"/>
          <w:szCs w:val="32"/>
          <w:lang w:bidi="zh-TW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zh-TW"/>
        </w:rPr>
        <w:t>电子邮箱：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"mailto:yjuanrst@shandong.cn" </w:instrText>
      </w:r>
      <w:r>
        <w:rPr>
          <w:color w:val="auto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zh-TW"/>
        </w:rPr>
        <w:t>zbhrst＠shandong.cn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zh-TW"/>
        </w:rPr>
        <w:fldChar w:fldCharType="end"/>
      </w:r>
    </w:p>
    <w:p w14:paraId="0B0284A3">
      <w:pPr>
        <w:pStyle w:val="6"/>
        <w:spacing w:line="560" w:lineRule="exact"/>
        <w:ind w:firstLine="0" w:firstLineChars="0"/>
        <w:rPr>
          <w:rFonts w:ascii="Times New Roman" w:hAnsi="Times New Roman" w:eastAsia="仿宋_GB2312"/>
          <w:color w:val="auto"/>
          <w:sz w:val="32"/>
          <w:szCs w:val="32"/>
        </w:rPr>
      </w:pPr>
    </w:p>
    <w:p w14:paraId="47286BC9">
      <w:pPr>
        <w:pStyle w:val="6"/>
        <w:spacing w:line="560" w:lineRule="exact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zh-TW"/>
        </w:rPr>
        <w:t>2025年“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数智就业”服务区试点建设申报表</w:t>
      </w:r>
    </w:p>
    <w:p w14:paraId="599C1BC7">
      <w:pPr>
        <w:pStyle w:val="6"/>
        <w:spacing w:line="560" w:lineRule="exact"/>
        <w:ind w:firstLine="0" w:firstLineChars="0"/>
        <w:rPr>
          <w:rFonts w:ascii="Times New Roman" w:hAnsi="Times New Roman" w:eastAsia="仿宋_GB2312"/>
          <w:color w:val="auto"/>
          <w:sz w:val="32"/>
          <w:szCs w:val="32"/>
        </w:rPr>
      </w:pPr>
    </w:p>
    <w:p w14:paraId="4A343C01">
      <w:pPr>
        <w:pStyle w:val="6"/>
        <w:spacing w:line="560" w:lineRule="exact"/>
        <w:ind w:firstLine="0" w:firstLineChars="0"/>
        <w:rPr>
          <w:rFonts w:ascii="Times New Roman" w:hAnsi="Times New Roman" w:eastAsia="仿宋_GB2312"/>
          <w:color w:val="auto"/>
          <w:sz w:val="32"/>
          <w:szCs w:val="32"/>
        </w:rPr>
      </w:pPr>
    </w:p>
    <w:tbl>
      <w:tblPr>
        <w:tblStyle w:val="11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 w14:paraId="59C70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530" w:type="dxa"/>
            <w:tcBorders>
              <w:tl2br w:val="nil"/>
              <w:tr2bl w:val="nil"/>
            </w:tcBorders>
            <w:vAlign w:val="center"/>
          </w:tcPr>
          <w:p w14:paraId="287F6288">
            <w:pPr>
              <w:pStyle w:val="6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</w:rPr>
              <w:t>山东省人力资源和社会保障厅</w:t>
            </w:r>
          </w:p>
        </w:tc>
        <w:tc>
          <w:tcPr>
            <w:tcW w:w="4530" w:type="dxa"/>
            <w:tcBorders>
              <w:tl2br w:val="nil"/>
              <w:tr2bl w:val="nil"/>
            </w:tcBorders>
            <w:vAlign w:val="center"/>
          </w:tcPr>
          <w:p w14:paraId="6E54B46F">
            <w:pPr>
              <w:pStyle w:val="6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</w:rPr>
              <w:t>山东省发展和改革委员会</w:t>
            </w:r>
          </w:p>
        </w:tc>
      </w:tr>
    </w:tbl>
    <w:p w14:paraId="25592D09">
      <w:pPr>
        <w:pStyle w:val="6"/>
        <w:spacing w:line="560" w:lineRule="exact"/>
        <w:ind w:firstLine="0" w:firstLineChars="0"/>
        <w:rPr>
          <w:rFonts w:ascii="Times New Roman" w:hAnsi="Times New Roman" w:eastAsia="仿宋_GB2312"/>
          <w:color w:val="auto"/>
          <w:sz w:val="32"/>
          <w:szCs w:val="32"/>
        </w:rPr>
      </w:pPr>
    </w:p>
    <w:p w14:paraId="6265901B">
      <w:pPr>
        <w:pStyle w:val="6"/>
        <w:spacing w:line="560" w:lineRule="exact"/>
        <w:ind w:firstLine="640" w:firstLineChars="0"/>
        <w:rPr>
          <w:rFonts w:ascii="Times New Roman" w:hAnsi="Times New Roman" w:eastAsia="仿宋_GB2312"/>
          <w:color w:val="auto"/>
          <w:sz w:val="32"/>
          <w:szCs w:val="32"/>
        </w:rPr>
      </w:pPr>
    </w:p>
    <w:p w14:paraId="338245FB">
      <w:pPr>
        <w:pStyle w:val="6"/>
        <w:spacing w:line="560" w:lineRule="exact"/>
        <w:ind w:firstLine="640" w:firstLineChars="0"/>
        <w:rPr>
          <w:rFonts w:ascii="Times New Roman" w:hAnsi="Times New Roman" w:eastAsia="仿宋_GB2312"/>
          <w:color w:val="auto"/>
          <w:sz w:val="32"/>
          <w:szCs w:val="32"/>
        </w:rPr>
      </w:pPr>
    </w:p>
    <w:tbl>
      <w:tblPr>
        <w:tblStyle w:val="11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 w14:paraId="5E5AC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530" w:type="dxa"/>
            <w:tcBorders>
              <w:tl2br w:val="nil"/>
              <w:tr2bl w:val="nil"/>
            </w:tcBorders>
            <w:vAlign w:val="center"/>
          </w:tcPr>
          <w:p w14:paraId="3BF4196B">
            <w:pPr>
              <w:pStyle w:val="6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</w:rPr>
              <w:t>山东省财政厅</w:t>
            </w:r>
          </w:p>
        </w:tc>
        <w:tc>
          <w:tcPr>
            <w:tcW w:w="4530" w:type="dxa"/>
            <w:tcBorders>
              <w:tl2br w:val="nil"/>
              <w:tr2bl w:val="nil"/>
            </w:tcBorders>
            <w:vAlign w:val="center"/>
          </w:tcPr>
          <w:p w14:paraId="5B48D24D">
            <w:pPr>
              <w:pStyle w:val="6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</w:rPr>
              <w:t>山东省大数据局</w:t>
            </w:r>
          </w:p>
        </w:tc>
      </w:tr>
    </w:tbl>
    <w:p w14:paraId="07193F6C">
      <w:pPr>
        <w:pStyle w:val="6"/>
        <w:spacing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zh-TW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zh-TW"/>
        </w:rPr>
        <w:t>2025年2月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zh-TW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zh-TW"/>
        </w:rPr>
        <w:t>日</w:t>
      </w:r>
    </w:p>
    <w:p w14:paraId="3990CE5F">
      <w:pPr>
        <w:pStyle w:val="6"/>
        <w:spacing w:line="560" w:lineRule="exact"/>
        <w:ind w:firstLine="640"/>
        <w:rPr>
          <w:rFonts w:ascii="Times New Roman" w:hAnsi="Times New Roman" w:eastAsia="仿宋_GB2312"/>
          <w:color w:val="auto"/>
          <w:sz w:val="32"/>
          <w:szCs w:val="32"/>
        </w:rPr>
      </w:pPr>
    </w:p>
    <w:p w14:paraId="740FB00C">
      <w:pPr>
        <w:pStyle w:val="6"/>
        <w:spacing w:line="560" w:lineRule="exact"/>
        <w:ind w:firstLine="64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（此件主动公开）</w:t>
      </w:r>
    </w:p>
    <w:p w14:paraId="2EBC2157">
      <w:pPr>
        <w:pStyle w:val="6"/>
        <w:spacing w:line="560" w:lineRule="exact"/>
        <w:ind w:firstLine="64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［</w:t>
      </w:r>
      <w:r>
        <w:rPr>
          <w:rFonts w:ascii="Times New Roman" w:hAnsi="Times New Roman" w:eastAsia="仿宋_GB2312"/>
          <w:color w:val="auto"/>
          <w:sz w:val="32"/>
          <w:szCs w:val="32"/>
        </w:rPr>
        <w:t>联系单位：省就业人才中心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就业失业监测处（统计信息处）］</w:t>
      </w:r>
    </w:p>
    <w:p w14:paraId="3B53A07D">
      <w:pPr>
        <w:pStyle w:val="6"/>
        <w:spacing w:line="560" w:lineRule="exact"/>
        <w:ind w:firstLine="640"/>
        <w:rPr>
          <w:rFonts w:ascii="Times New Roman" w:hAnsi="Times New Roman" w:eastAsia="仿宋_GB2312"/>
          <w:color w:val="auto"/>
          <w:sz w:val="32"/>
          <w:szCs w:val="32"/>
        </w:rPr>
      </w:pPr>
    </w:p>
    <w:p w14:paraId="55DFDC4A">
      <w:pPr>
        <w:pStyle w:val="6"/>
        <w:spacing w:line="560" w:lineRule="exact"/>
        <w:ind w:firstLine="640"/>
        <w:rPr>
          <w:rFonts w:ascii="Times New Roman" w:hAnsi="Times New Roman" w:eastAsia="仿宋_GB2312"/>
          <w:color w:val="auto"/>
          <w:sz w:val="32"/>
          <w:szCs w:val="32"/>
        </w:rPr>
      </w:pPr>
    </w:p>
    <w:p w14:paraId="61A28EBB">
      <w:pPr>
        <w:pStyle w:val="6"/>
        <w:spacing w:line="560" w:lineRule="exact"/>
        <w:ind w:firstLine="640"/>
        <w:rPr>
          <w:rFonts w:ascii="Times New Roman" w:hAnsi="Times New Roman" w:eastAsia="仿宋_GB2312"/>
          <w:color w:val="auto"/>
          <w:sz w:val="32"/>
          <w:szCs w:val="32"/>
        </w:rPr>
      </w:pPr>
    </w:p>
    <w:p w14:paraId="64C5CFFE">
      <w:pPr>
        <w:pStyle w:val="6"/>
        <w:spacing w:line="560" w:lineRule="exact"/>
        <w:ind w:firstLine="640"/>
        <w:rPr>
          <w:rFonts w:ascii="Times New Roman" w:hAnsi="Times New Roman" w:eastAsia="仿宋_GB2312"/>
          <w:color w:val="auto"/>
          <w:sz w:val="32"/>
          <w:szCs w:val="32"/>
        </w:rPr>
      </w:pPr>
    </w:p>
    <w:p w14:paraId="419245B3">
      <w:pPr>
        <w:spacing w:line="5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br w:type="page"/>
      </w:r>
    </w:p>
    <w:p w14:paraId="423507E9">
      <w:pPr>
        <w:pStyle w:val="6"/>
        <w:ind w:firstLine="0" w:firstLineChars="0"/>
        <w:jc w:val="lef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 w14:paraId="5FA3C4E6">
      <w:pPr>
        <w:pStyle w:val="6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7C4A292A">
      <w:pPr>
        <w:pStyle w:val="6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2B3A3EA7">
      <w:pPr>
        <w:pStyle w:val="6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auto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</w:rPr>
        <w:t>2025年“数智就业”服务区</w:t>
      </w:r>
    </w:p>
    <w:p w14:paraId="69D07234">
      <w:pPr>
        <w:pStyle w:val="6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auto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</w:rPr>
        <w:t>试点建设申报表</w:t>
      </w:r>
    </w:p>
    <w:p w14:paraId="1913B810">
      <w:pPr>
        <w:pStyle w:val="6"/>
        <w:ind w:firstLine="0" w:firstLineChars="0"/>
        <w:rPr>
          <w:rFonts w:ascii="Times New Roman" w:hAnsi="Times New Roman" w:eastAsia="仿宋_GB2312"/>
          <w:color w:val="auto"/>
          <w:sz w:val="32"/>
          <w:szCs w:val="32"/>
        </w:rPr>
      </w:pPr>
    </w:p>
    <w:p w14:paraId="6D2D292D">
      <w:pPr>
        <w:pStyle w:val="6"/>
        <w:ind w:firstLine="0" w:firstLineChars="0"/>
        <w:rPr>
          <w:rFonts w:ascii="Times New Roman" w:hAnsi="Times New Roman" w:eastAsia="仿宋_GB2312"/>
          <w:color w:val="auto"/>
          <w:sz w:val="32"/>
          <w:szCs w:val="32"/>
        </w:rPr>
      </w:pPr>
    </w:p>
    <w:p w14:paraId="77D1596D">
      <w:pPr>
        <w:pStyle w:val="6"/>
        <w:ind w:firstLine="0" w:firstLineChars="0"/>
        <w:rPr>
          <w:rFonts w:ascii="Times New Roman" w:hAnsi="Times New Roman" w:eastAsia="仿宋_GB2312"/>
          <w:color w:val="auto"/>
          <w:sz w:val="32"/>
          <w:szCs w:val="32"/>
        </w:rPr>
      </w:pPr>
    </w:p>
    <w:p w14:paraId="7435BF53">
      <w:pPr>
        <w:pStyle w:val="6"/>
        <w:ind w:firstLine="0" w:firstLineChars="0"/>
        <w:rPr>
          <w:rFonts w:ascii="Times New Roman" w:hAnsi="Times New Roman" w:eastAsia="仿宋_GB2312"/>
          <w:color w:val="auto"/>
          <w:sz w:val="32"/>
          <w:szCs w:val="32"/>
        </w:rPr>
      </w:pPr>
    </w:p>
    <w:p w14:paraId="2938FB6E">
      <w:pPr>
        <w:pStyle w:val="6"/>
        <w:ind w:firstLine="0" w:firstLineChars="0"/>
        <w:rPr>
          <w:rFonts w:ascii="Times New Roman" w:hAnsi="Times New Roman" w:eastAsia="仿宋_GB2312"/>
          <w:color w:val="auto"/>
          <w:sz w:val="32"/>
          <w:szCs w:val="32"/>
        </w:rPr>
      </w:pPr>
    </w:p>
    <w:p w14:paraId="37808D9E">
      <w:pPr>
        <w:pStyle w:val="6"/>
        <w:ind w:firstLine="0" w:firstLineChars="0"/>
        <w:rPr>
          <w:rFonts w:ascii="Times New Roman" w:hAnsi="Times New Roman" w:eastAsia="仿宋_GB2312"/>
          <w:color w:val="auto"/>
          <w:sz w:val="32"/>
          <w:szCs w:val="32"/>
        </w:rPr>
      </w:pPr>
    </w:p>
    <w:p w14:paraId="22B0B236">
      <w:pPr>
        <w:pStyle w:val="6"/>
        <w:tabs>
          <w:tab w:val="left" w:leader="underscore" w:pos="7350"/>
        </w:tabs>
        <w:ind w:firstLine="640"/>
        <w:jc w:val="left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试点申报市：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ab/>
      </w:r>
    </w:p>
    <w:p w14:paraId="532442C7">
      <w:pPr>
        <w:pStyle w:val="6"/>
        <w:tabs>
          <w:tab w:val="left" w:leader="underscore" w:pos="7350"/>
        </w:tabs>
        <w:ind w:firstLine="640"/>
        <w:jc w:val="left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建设单位名称：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ab/>
      </w:r>
    </w:p>
    <w:p w14:paraId="01BF3B07">
      <w:pPr>
        <w:pStyle w:val="6"/>
        <w:tabs>
          <w:tab w:val="left" w:leader="underscore" w:pos="7350"/>
        </w:tabs>
        <w:ind w:firstLine="640"/>
        <w:jc w:val="left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试点建设地址：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ab/>
      </w:r>
    </w:p>
    <w:p w14:paraId="10C8B3FB">
      <w:pPr>
        <w:pStyle w:val="6"/>
        <w:tabs>
          <w:tab w:val="left" w:leader="underscore" w:pos="7350"/>
        </w:tabs>
        <w:ind w:firstLine="640"/>
        <w:jc w:val="left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申报时间：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ab/>
      </w:r>
    </w:p>
    <w:p w14:paraId="79C1D0E2">
      <w:pPr>
        <w:pStyle w:val="6"/>
        <w:tabs>
          <w:tab w:val="left" w:leader="underscore" w:pos="7350"/>
        </w:tabs>
        <w:ind w:firstLine="640"/>
        <w:jc w:val="left"/>
        <w:rPr>
          <w:rFonts w:ascii="Times New Roman" w:hAnsi="Times New Roman" w:eastAsia="仿宋_GB2312"/>
          <w:color w:val="auto"/>
          <w:sz w:val="32"/>
          <w:szCs w:val="32"/>
        </w:rPr>
        <w:sectPr>
          <w:footerReference r:id="rId3" w:type="default"/>
          <w:pgSz w:w="11906" w:h="16838"/>
          <w:pgMar w:top="2098" w:right="1531" w:bottom="1814" w:left="1531" w:header="851" w:footer="1587" w:gutter="0"/>
          <w:cols w:space="0" w:num="1"/>
          <w:rtlGutter w:val="0"/>
          <w:docGrid w:type="linesAndChars" w:linePitch="587" w:charSpace="-849"/>
        </w:sect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联系人及联系方式：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ab/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ab/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ab/>
      </w:r>
    </w:p>
    <w:tbl>
      <w:tblPr>
        <w:tblStyle w:val="11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3"/>
        <w:gridCol w:w="4365"/>
      </w:tblGrid>
      <w:tr w14:paraId="3DD6D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atLeast"/>
        </w:trPr>
        <w:tc>
          <w:tcPr>
            <w:tcW w:w="8948" w:type="dxa"/>
            <w:gridSpan w:val="2"/>
          </w:tcPr>
          <w:p w14:paraId="1554E796">
            <w:pPr>
              <w:pStyle w:val="6"/>
              <w:ind w:firstLine="640"/>
              <w:jc w:val="left"/>
              <w:rPr>
                <w:rFonts w:ascii="黑体" w:hAnsi="黑体" w:eastAsia="黑体" w:cs="黑体"/>
                <w:color w:val="auto"/>
                <w:sz w:val="32"/>
                <w:szCs w:val="32"/>
                <w:shd w:val="clear" w:color="auto" w:fill="FFFFFF"/>
                <w:lang w:bidi="zh-TW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一、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shd w:val="clear" w:color="auto" w:fill="FFFFFF"/>
                <w:lang w:bidi="zh-TW"/>
              </w:rPr>
              <w:t>现有条件</w:t>
            </w:r>
          </w:p>
          <w:p w14:paraId="2391DF1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592" w:firstLineChars="200"/>
              <w:jc w:val="left"/>
              <w:textAlignment w:val="auto"/>
              <w:outlineLvl w:val="9"/>
              <w:rPr>
                <w:rFonts w:ascii="Times New Roman" w:hAnsi="Times New Roman" w:eastAsia="仿宋_GB2312"/>
                <w:color w:val="auto"/>
                <w:sz w:val="30"/>
                <w:szCs w:val="30"/>
                <w:shd w:val="clear" w:color="auto" w:fill="FFFFFF"/>
                <w:lang w:bidi="zh-TW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0"/>
                <w:szCs w:val="30"/>
                <w:shd w:val="clear" w:color="auto" w:fill="FFFFFF"/>
                <w:lang w:bidi="zh-TW"/>
              </w:rPr>
              <w:t>（归纳服务区本阶段“数智就业”工作基本情况。包括但不限于基础设施、布局、服务情况、数据资源情况、活动开展情况、有关部门支持情况等）</w:t>
            </w:r>
          </w:p>
          <w:p w14:paraId="43231D02">
            <w:pPr>
              <w:pStyle w:val="6"/>
              <w:ind w:firstLine="640"/>
              <w:jc w:val="left"/>
              <w:rPr>
                <w:rFonts w:ascii="Times New Roman" w:hAnsi="Times New Roman" w:eastAsia="仿宋_GB2312"/>
                <w:color w:val="auto"/>
                <w:sz w:val="32"/>
                <w:szCs w:val="32"/>
                <w:shd w:val="clear" w:color="auto" w:fill="FFFFFF"/>
                <w:lang w:bidi="zh-TW"/>
              </w:rPr>
            </w:pPr>
          </w:p>
          <w:p w14:paraId="48A13720">
            <w:pPr>
              <w:pStyle w:val="6"/>
              <w:ind w:firstLine="640"/>
              <w:jc w:val="left"/>
              <w:rPr>
                <w:rFonts w:ascii="Times New Roman" w:hAnsi="Times New Roman" w:eastAsia="仿宋_GB2312"/>
                <w:color w:val="auto"/>
                <w:sz w:val="32"/>
                <w:szCs w:val="32"/>
                <w:shd w:val="clear" w:color="auto" w:fill="FFFFFF"/>
                <w:lang w:bidi="zh-TW"/>
              </w:rPr>
            </w:pPr>
          </w:p>
          <w:p w14:paraId="62D6A816">
            <w:pPr>
              <w:pStyle w:val="6"/>
              <w:ind w:firstLine="640"/>
              <w:jc w:val="left"/>
              <w:rPr>
                <w:rFonts w:ascii="Times New Roman" w:hAnsi="Times New Roman" w:eastAsia="仿宋_GB2312"/>
                <w:color w:val="auto"/>
                <w:sz w:val="32"/>
                <w:szCs w:val="32"/>
                <w:shd w:val="clear" w:color="auto" w:fill="FFFFFF"/>
                <w:lang w:bidi="zh-TW"/>
              </w:rPr>
            </w:pPr>
          </w:p>
        </w:tc>
      </w:tr>
      <w:tr w14:paraId="03CCA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6" w:hRule="atLeast"/>
        </w:trPr>
        <w:tc>
          <w:tcPr>
            <w:tcW w:w="8948" w:type="dxa"/>
            <w:gridSpan w:val="2"/>
          </w:tcPr>
          <w:p w14:paraId="3E17EAAD">
            <w:pPr>
              <w:pStyle w:val="6"/>
              <w:ind w:firstLine="640"/>
              <w:jc w:val="left"/>
              <w:rPr>
                <w:rFonts w:ascii="黑体" w:hAnsi="黑体" w:eastAsia="黑体" w:cs="黑体"/>
                <w:color w:val="auto"/>
                <w:sz w:val="32"/>
                <w:szCs w:val="32"/>
                <w:shd w:val="clear" w:color="auto" w:fill="FFFFFF"/>
                <w:lang w:bidi="zh-TW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shd w:val="clear" w:color="auto" w:fill="FFFFFF"/>
                <w:lang w:bidi="zh-TW"/>
              </w:rPr>
              <w:t>二、建设方案</w:t>
            </w:r>
          </w:p>
          <w:p w14:paraId="4265AC3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592" w:firstLineChars="200"/>
              <w:jc w:val="left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z w:val="30"/>
                <w:szCs w:val="30"/>
                <w:shd w:val="clear" w:color="auto" w:fill="FFFFFF"/>
                <w:lang w:bidi="zh-TW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0"/>
                <w:szCs w:val="30"/>
                <w:shd w:val="clear" w:color="auto" w:fill="FFFFFF"/>
                <w:lang w:bidi="zh-TW"/>
              </w:rPr>
              <w:t>（对标“数智就业”服务区基本条件、服务功能等要求，提出试点建设思路、建设内容、服务功能、资金预算等）</w:t>
            </w:r>
          </w:p>
          <w:p w14:paraId="1BCDBD5C">
            <w:pPr>
              <w:pStyle w:val="6"/>
              <w:ind w:firstLine="640"/>
              <w:jc w:val="left"/>
              <w:rPr>
                <w:rFonts w:ascii="Times New Roman" w:hAnsi="Times New Roman" w:eastAsia="仿宋_GB2312"/>
                <w:color w:val="auto"/>
                <w:sz w:val="32"/>
                <w:szCs w:val="32"/>
                <w:shd w:val="clear" w:color="auto" w:fill="FFFFFF"/>
                <w:lang w:bidi="zh-TW"/>
              </w:rPr>
            </w:pPr>
          </w:p>
          <w:p w14:paraId="462C7E8B">
            <w:pPr>
              <w:pStyle w:val="6"/>
              <w:ind w:firstLine="640"/>
              <w:jc w:val="left"/>
              <w:rPr>
                <w:rFonts w:ascii="Times New Roman" w:hAnsi="Times New Roman" w:eastAsia="仿宋_GB2312"/>
                <w:color w:val="auto"/>
                <w:sz w:val="32"/>
                <w:szCs w:val="32"/>
                <w:shd w:val="clear" w:color="auto" w:fill="FFFFFF"/>
                <w:lang w:bidi="zh-TW"/>
              </w:rPr>
            </w:pPr>
          </w:p>
          <w:p w14:paraId="42D1BC1F">
            <w:pPr>
              <w:pStyle w:val="6"/>
              <w:ind w:firstLine="640"/>
              <w:jc w:val="left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  <w:p w14:paraId="0525BCAB">
            <w:pPr>
              <w:pStyle w:val="6"/>
              <w:ind w:firstLine="640"/>
              <w:jc w:val="left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</w:tr>
      <w:tr w14:paraId="33379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8948" w:type="dxa"/>
            <w:gridSpan w:val="2"/>
          </w:tcPr>
          <w:p w14:paraId="010BBFFA">
            <w:pPr>
              <w:pStyle w:val="6"/>
              <w:ind w:firstLine="640"/>
              <w:jc w:val="left"/>
              <w:rPr>
                <w:rFonts w:ascii="黑体" w:hAnsi="黑体" w:eastAsia="黑体" w:cs="黑体"/>
                <w:color w:val="auto"/>
                <w:sz w:val="32"/>
                <w:szCs w:val="32"/>
                <w:shd w:val="clear" w:color="auto" w:fill="FFFFFF"/>
                <w:lang w:bidi="zh-TW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shd w:val="clear" w:color="auto" w:fill="FFFFFF"/>
                <w:lang w:bidi="zh-TW"/>
              </w:rPr>
              <w:t>三、建设步骤、时间进度和预期成效等</w:t>
            </w:r>
          </w:p>
          <w:p w14:paraId="0EA991A7">
            <w:pPr>
              <w:pStyle w:val="6"/>
              <w:ind w:firstLine="640"/>
              <w:jc w:val="left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  <w:p w14:paraId="57AD7ABF">
            <w:pPr>
              <w:pStyle w:val="6"/>
              <w:ind w:firstLine="640"/>
              <w:jc w:val="left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  <w:p w14:paraId="04EF660F">
            <w:pPr>
              <w:pStyle w:val="6"/>
              <w:ind w:firstLine="0" w:firstLineChars="0"/>
              <w:jc w:val="left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</w:tr>
      <w:tr w14:paraId="19ECC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</w:trPr>
        <w:tc>
          <w:tcPr>
            <w:tcW w:w="4583" w:type="dxa"/>
            <w:vAlign w:val="center"/>
          </w:tcPr>
          <w:p w14:paraId="75148E85">
            <w:pPr>
              <w:pStyle w:val="6"/>
              <w:ind w:firstLine="316" w:firstLineChars="100"/>
              <w:rPr>
                <w:rFonts w:ascii="黑体" w:hAnsi="黑体" w:eastAsia="黑体" w:cs="黑体"/>
                <w:color w:val="auto"/>
                <w:sz w:val="32"/>
                <w:szCs w:val="32"/>
                <w:shd w:val="clear" w:color="auto" w:fill="FFFFFF"/>
                <w:lang w:bidi="zh-TW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shd w:val="clear" w:color="auto" w:fill="FFFFFF"/>
                <w:lang w:bidi="zh-TW"/>
              </w:rPr>
              <w:t>市人力资源社会保障局意见</w:t>
            </w:r>
          </w:p>
        </w:tc>
        <w:tc>
          <w:tcPr>
            <w:tcW w:w="4365" w:type="dxa"/>
          </w:tcPr>
          <w:p w14:paraId="6D039B3C">
            <w:pPr>
              <w:pStyle w:val="6"/>
              <w:ind w:firstLine="0" w:firstLineChars="0"/>
              <w:jc w:val="left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  <w:p w14:paraId="14F416EF">
            <w:pPr>
              <w:pStyle w:val="6"/>
              <w:ind w:firstLine="1896" w:firstLineChars="600"/>
              <w:jc w:val="left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</w:rPr>
              <w:t>（盖章）</w:t>
            </w:r>
          </w:p>
          <w:p w14:paraId="7C8B67DB">
            <w:pPr>
              <w:pStyle w:val="6"/>
              <w:ind w:firstLine="640"/>
              <w:jc w:val="left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</w:rPr>
              <w:t xml:space="preserve">         年  月  日</w:t>
            </w:r>
          </w:p>
        </w:tc>
      </w:tr>
    </w:tbl>
    <w:p w14:paraId="4B3E852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color w:val="auto"/>
        </w:rPr>
      </w:pPr>
    </w:p>
    <w:p w14:paraId="35D0CF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right="0" w:rightChars="0"/>
        <w:textAlignment w:val="auto"/>
        <w:outlineLvl w:val="9"/>
        <w:rPr>
          <w:color w:val="auto"/>
        </w:rPr>
      </w:pPr>
    </w:p>
    <w:p w14:paraId="561B25F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right="0" w:rightChars="0"/>
        <w:textAlignment w:val="auto"/>
        <w:outlineLvl w:val="9"/>
        <w:rPr>
          <w:color w:val="auto"/>
        </w:rPr>
      </w:pPr>
    </w:p>
    <w:p w14:paraId="510DE4F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color w:val="auto"/>
        </w:rPr>
      </w:pPr>
    </w:p>
    <w:p w14:paraId="2DD0E7D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color w:val="auto"/>
        </w:rPr>
      </w:pPr>
    </w:p>
    <w:p w14:paraId="5A21F60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color w:val="auto"/>
        </w:rPr>
      </w:pPr>
    </w:p>
    <w:p w14:paraId="2E4DAF7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color w:val="auto"/>
        </w:rPr>
      </w:pPr>
    </w:p>
    <w:p w14:paraId="01CB986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color w:val="auto"/>
        </w:rPr>
      </w:pPr>
    </w:p>
    <w:p w14:paraId="4B59E01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color w:val="auto"/>
        </w:rPr>
      </w:pPr>
    </w:p>
    <w:p w14:paraId="67DD28D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color w:val="auto"/>
        </w:rPr>
      </w:pPr>
    </w:p>
    <w:p w14:paraId="3244C2A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color w:val="auto"/>
        </w:rPr>
      </w:pPr>
    </w:p>
    <w:p w14:paraId="7A0A4E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right="0" w:rightChars="0"/>
        <w:textAlignment w:val="auto"/>
        <w:outlineLvl w:val="9"/>
        <w:rPr>
          <w:color w:val="auto"/>
        </w:rPr>
      </w:pPr>
    </w:p>
    <w:p w14:paraId="324293E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color w:val="auto"/>
        </w:rPr>
      </w:pPr>
    </w:p>
    <w:p w14:paraId="0537ED2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right="0" w:rightChars="0"/>
        <w:textAlignment w:val="auto"/>
        <w:outlineLvl w:val="9"/>
        <w:rPr>
          <w:color w:val="auto"/>
        </w:rPr>
      </w:pPr>
    </w:p>
    <w:p w14:paraId="067498F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right="0" w:rightChars="0"/>
        <w:textAlignment w:val="auto"/>
        <w:outlineLvl w:val="9"/>
        <w:rPr>
          <w:color w:val="auto"/>
        </w:rPr>
      </w:pPr>
    </w:p>
    <w:p w14:paraId="5B8C009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right="0" w:rightChars="0"/>
        <w:textAlignment w:val="auto"/>
        <w:outlineLvl w:val="9"/>
        <w:rPr>
          <w:rFonts w:hint="eastAsia"/>
          <w:color w:val="auto"/>
        </w:rPr>
      </w:pPr>
    </w:p>
    <w:p w14:paraId="611762A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eastAsia"/>
          <w:color w:val="auto"/>
        </w:rPr>
      </w:pPr>
    </w:p>
    <w:p w14:paraId="2834325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eastAsia"/>
          <w:color w:val="auto"/>
        </w:rPr>
      </w:pPr>
    </w:p>
    <w:p w14:paraId="0AFB8C4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eastAsia"/>
          <w:color w:val="auto"/>
        </w:rPr>
      </w:pPr>
    </w:p>
    <w:p w14:paraId="5EA445F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outlineLvl w:val="9"/>
        <w:rPr>
          <w:rFonts w:hint="eastAsia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5615940" cy="0"/>
                <wp:effectExtent l="0" t="0" r="0" b="0"/>
                <wp:wrapNone/>
                <wp:docPr id="4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0pt;margin-top:2pt;height:0pt;width:442.2pt;z-index:251661312;mso-width-relative:page;mso-height-relative:page;" filled="f" stroked="t" coordsize="21600,21600" o:gfxdata="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XLEunTAAAABAEAAA8AAAAAAAAAAQAgAAAAIgAAAGRycy9kb3ducmV2LnhtbFBL&#10;AQIUABQAAAAIAIdO4kC8dXJ/+wEAAPMDAAAOAAAAAAAAAAEAIAAAACIBAABkcnMvZTJvRG9jLnht&#10;bFBLBQYAAAAABgAGAFkBAACP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28"/>
          <w:szCs w:val="32"/>
        </w:rPr>
        <w:t>抄送：省属普通高校，厅属技工院校。</w:t>
      </w:r>
    </w:p>
    <w:p w14:paraId="5005E5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316" w:right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5615940" cy="0"/>
                <wp:effectExtent l="0" t="0" r="0" b="0"/>
                <wp:wrapNone/>
                <wp:docPr id="5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0pt;margin-top:0.6pt;height:0pt;width:442.2pt;z-index:251663360;mso-width-relative:page;mso-height-relative:page;" filled="f" stroked="t" coordsize="21600,21600" o:gfxdata="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4WHXi9EAAAAEAQAADwAAAAAAAAABACAAAAAiAAAAZHJzL2Rvd25yZXYueG1sUEsBAhQA&#10;FAAAAAgAh07iQGnoY5L5AQAA8gMAAA4AAAAAAAAAAQAgAAAAIAEAAGRycy9lMm9Eb2MueG1sUEsF&#10;BgAAAAAGAAYAWQEAAIs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山东省人力资源和社会保障厅办公室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2025年2月21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日印发</w:t>
      </w:r>
    </w:p>
    <w:p w14:paraId="09CCBF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316" w:rightChars="100"/>
        <w:jc w:val="both"/>
        <w:textAlignment w:val="auto"/>
        <w:outlineLvl w:val="9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346710</wp:posOffset>
                </wp:positionV>
                <wp:extent cx="5615940" cy="0"/>
                <wp:effectExtent l="0" t="0" r="0" b="0"/>
                <wp:wrapNone/>
                <wp:docPr id="8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0pt;margin-top:27.3pt;height:0pt;width:442.2pt;z-index:251662336;mso-width-relative:page;mso-height-relative:page;" filled="f" stroked="t" coordsize="21600,21600" o:gfxdata="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7Cij6dYAAAAGAQAADwAAAAAAAAABACAAAAAiAAAAZHJzL2Rvd25yZXYueG1s&#10;UEsBAhQAFAAAAAgAh07iQNz9S6P6AQAA8wMAAA4AAAAAAAAAAQAgAAAAJQEAAGRycy9lMm9Eb2Mu&#10;eG1sUEsFBgAAAAAGAAYAWQEAAJE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5615940" cy="0"/>
                <wp:effectExtent l="0" t="0" r="0" b="0"/>
                <wp:wrapNone/>
                <wp:docPr id="7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0pt;margin-top:0.2pt;height:0pt;width:442.2pt;z-index:251660288;mso-width-relative:page;mso-height-relative:page;" filled="f" stroked="t" coordsize="21600,21600" o:gfxdata="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7u9eo0AAAAAIBAAAPAAAAAAAAAAEAIAAAACIAAABkcnMvZG93bnJldi54bWxQSwECFAAU&#10;AAAACACHTuJAU9ZfjfkBAADyAwAADgAAAAAAAAABACAAAAAfAQAAZHJzL2Uyb0RvYy54bWxQSwUG&#10;AAAAAAYABgBZAQAAi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校核人：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张宝惠</w:t>
      </w:r>
    </w:p>
    <w:sectPr>
      <w:footerReference r:id="rId4" w:type="default"/>
      <w:pgSz w:w="11906" w:h="16838"/>
      <w:pgMar w:top="2098" w:right="1531" w:bottom="1814" w:left="1531" w:header="851" w:footer="1587" w:gutter="0"/>
      <w:cols w:space="0" w:num="1"/>
      <w:rtlGutter w:val="0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E28A5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76D48D6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320" w:leftChars="100" w:right="320" w:rightChars="100" w:firstLine="0" w:firstLineChars="0"/>
                            <w:jc w:val="left"/>
                            <w:textAlignment w:val="auto"/>
                            <w:outlineLvl w:val="9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MzXx+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6D48D6"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320" w:leftChars="100" w:right="320" w:rightChars="100" w:firstLine="0" w:firstLineChars="0"/>
                      <w:jc w:val="left"/>
                      <w:textAlignment w:val="auto"/>
                      <w:outlineLvl w:val="9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6D6BE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375A5C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320" w:leftChars="100" w:right="320" w:rightChars="100" w:firstLine="0" w:firstLineChars="0"/>
                            <w:jc w:val="left"/>
                            <w:textAlignment w:val="auto"/>
                            <w:outlineLvl w:val="9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pE+Zc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aRPmX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375A5C"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320" w:leftChars="100" w:right="320" w:rightChars="100" w:firstLine="0" w:firstLineChars="0"/>
                      <w:jc w:val="left"/>
                      <w:textAlignment w:val="auto"/>
                      <w:outlineLvl w:val="9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294"/>
  <w:displayHorizontalDrawingGridEvery w:val="2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E43"/>
    <w:rsid w:val="000D0908"/>
    <w:rsid w:val="0021054A"/>
    <w:rsid w:val="0043685F"/>
    <w:rsid w:val="009F4E43"/>
    <w:rsid w:val="00DE2B09"/>
    <w:rsid w:val="02582504"/>
    <w:rsid w:val="04707A2E"/>
    <w:rsid w:val="04ED701F"/>
    <w:rsid w:val="055602A7"/>
    <w:rsid w:val="06453CF8"/>
    <w:rsid w:val="0D2E2A33"/>
    <w:rsid w:val="0E4F2D85"/>
    <w:rsid w:val="0E5507EE"/>
    <w:rsid w:val="0F093F61"/>
    <w:rsid w:val="0F557380"/>
    <w:rsid w:val="0F7368EE"/>
    <w:rsid w:val="12084878"/>
    <w:rsid w:val="15730A21"/>
    <w:rsid w:val="18BE391B"/>
    <w:rsid w:val="1CBF49C9"/>
    <w:rsid w:val="1CD00E3A"/>
    <w:rsid w:val="21880358"/>
    <w:rsid w:val="2631061F"/>
    <w:rsid w:val="278B6E42"/>
    <w:rsid w:val="299F742C"/>
    <w:rsid w:val="2BC37556"/>
    <w:rsid w:val="2BC83B0A"/>
    <w:rsid w:val="2BCE339C"/>
    <w:rsid w:val="2BF872C8"/>
    <w:rsid w:val="34232E92"/>
    <w:rsid w:val="3578720D"/>
    <w:rsid w:val="3BE2792E"/>
    <w:rsid w:val="40141622"/>
    <w:rsid w:val="40173E32"/>
    <w:rsid w:val="41CF768E"/>
    <w:rsid w:val="43E16477"/>
    <w:rsid w:val="481E3C7B"/>
    <w:rsid w:val="494B2E95"/>
    <w:rsid w:val="4B0A2C67"/>
    <w:rsid w:val="4BCA36C7"/>
    <w:rsid w:val="4BF23C07"/>
    <w:rsid w:val="4E8F1DAC"/>
    <w:rsid w:val="4FBA10CC"/>
    <w:rsid w:val="54A6749B"/>
    <w:rsid w:val="57284FFF"/>
    <w:rsid w:val="58E45E84"/>
    <w:rsid w:val="59002AE9"/>
    <w:rsid w:val="599A207F"/>
    <w:rsid w:val="5F1A385C"/>
    <w:rsid w:val="61902342"/>
    <w:rsid w:val="64C50A85"/>
    <w:rsid w:val="65E277F4"/>
    <w:rsid w:val="66172B6E"/>
    <w:rsid w:val="69BE2592"/>
    <w:rsid w:val="6A4B682C"/>
    <w:rsid w:val="6CAC7A6C"/>
    <w:rsid w:val="71A92CD7"/>
    <w:rsid w:val="71B25F84"/>
    <w:rsid w:val="73276D3B"/>
    <w:rsid w:val="74775DDC"/>
    <w:rsid w:val="79AC25D2"/>
    <w:rsid w:val="7A133B79"/>
    <w:rsid w:val="DE73F1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qFormat="1" w:unhideWhenUsed="0" w:uiPriority="0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qFormat="1"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qFormat="1"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szCs w:val="32"/>
    </w:rPr>
  </w:style>
  <w:style w:type="paragraph" w:styleId="3">
    <w:name w:val="Body Text First Indent 2"/>
    <w:basedOn w:val="4"/>
    <w:next w:val="5"/>
    <w:qFormat/>
    <w:uiPriority w:val="99"/>
    <w:pPr>
      <w:widowControl w:val="0"/>
      <w:spacing w:after="120"/>
      <w:ind w:left="420" w:leftChars="200" w:firstLine="420" w:firstLineChars="200"/>
      <w:jc w:val="both"/>
    </w:pPr>
    <w:rPr>
      <w:kern w:val="2"/>
      <w:sz w:val="32"/>
      <w:szCs w:val="32"/>
      <w:lang w:val="en-US" w:eastAsia="zh-CN" w:bidi="ar-SA"/>
    </w:r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99"/>
  </w:style>
  <w:style w:type="paragraph" w:customStyle="1" w:styleId="14">
    <w:name w:val="Body text|1"/>
    <w:basedOn w:val="1"/>
    <w:qFormat/>
    <w:uiPriority w:val="0"/>
    <w:pPr>
      <w:spacing w:line="425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5">
    <w:name w:val="页眉 Char"/>
    <w:basedOn w:val="12"/>
    <w:link w:val="8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神州网信技术有限公司</Company>
  <Pages>11</Pages>
  <Words>3538</Words>
  <Characters>3596</Characters>
  <Lines>28</Lines>
  <Paragraphs>8</Paragraphs>
  <TotalTime>0</TotalTime>
  <ScaleCrop>false</ScaleCrop>
  <LinksUpToDate>false</LinksUpToDate>
  <CharactersWithSpaces>3596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2025-02-19T09:12:00Z</dcterms:created>
  <dc:creator>上善若水</dc:creator>
  <cp:lastModifiedBy>婁超羣</cp:lastModifiedBy>
  <dcterms:modified xsi:type="dcterms:W3CDTF">2025-02-24T06:08:57Z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eyJoZGlkIjoiNWM2NWQ4Yzc2ODRmMjkxNjA5MzQ4NTVjMjAzNDYwMTQiLCJ1c2VySWQiOiI0MTQwNjcxMDIifQ==</vt:lpwstr>
  </property>
  <property fmtid="{D5CDD505-2E9C-101B-9397-08002B2CF9AE}" pid="4" name="ICV">
    <vt:lpwstr>FBE32930A0AD41C19C0627BE21FA07B0_13</vt:lpwstr>
  </property>
</Properties>
</file>