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315" w:rightChars="-150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32"/>
          <w:szCs w:val="32"/>
        </w:rPr>
        <w:t>HNPR—2024—01019</w:t>
      </w:r>
    </w:p>
    <w:p>
      <w:pPr>
        <w:spacing w:line="580" w:lineRule="exact"/>
        <w:ind w:right="-315" w:rightChars="-150"/>
        <w:jc w:val="center"/>
        <w:rPr>
          <w:rFonts w:ascii="方正小标宋简体" w:hAnsi="方正小标宋_GBK" w:eastAsia="方正小标宋简体"/>
          <w:color w:val="000000"/>
          <w:sz w:val="44"/>
          <w:szCs w:val="44"/>
        </w:rPr>
      </w:pPr>
    </w:p>
    <w:p>
      <w:pPr>
        <w:spacing w:line="580" w:lineRule="exact"/>
        <w:ind w:right="25" w:rightChars="12"/>
        <w:jc w:val="center"/>
        <w:rPr>
          <w:rFonts w:ascii="方正小标宋简体" w:hAnsi="方正小标宋_GBK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/>
          <w:color w:val="000000"/>
          <w:sz w:val="44"/>
          <w:szCs w:val="44"/>
        </w:rPr>
        <w:t>湖南省人民政府办公厅</w:t>
      </w:r>
    </w:p>
    <w:p>
      <w:pPr>
        <w:spacing w:line="580" w:lineRule="exact"/>
        <w:ind w:right="25" w:rightChars="12"/>
        <w:jc w:val="center"/>
        <w:rPr>
          <w:rFonts w:ascii="方正小标宋简体" w:hAnsi="方正小标宋_GBK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/>
          <w:color w:val="000000"/>
          <w:sz w:val="44"/>
          <w:szCs w:val="44"/>
        </w:rPr>
        <w:t>印发《关于进一步推进养老服务高质量</w:t>
      </w:r>
    </w:p>
    <w:p>
      <w:pPr>
        <w:spacing w:line="580" w:lineRule="exact"/>
        <w:ind w:right="25" w:rightChars="12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/>
          <w:color w:val="000000"/>
          <w:sz w:val="44"/>
          <w:szCs w:val="44"/>
        </w:rPr>
        <w:t>发展的十条措施》的通知</w:t>
      </w:r>
    </w:p>
    <w:p>
      <w:pPr>
        <w:spacing w:line="58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湘政办发〔2024〕41号</w:t>
      </w:r>
    </w:p>
    <w:p>
      <w:pPr>
        <w:pStyle w:val="2"/>
        <w:ind w:left="420"/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各市州、县市区人民政府，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省政府各厅委、各直属机构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《关于进一步推进养老服务高质量发展的十条措施》已经省人民政府同意，现印发给你们，请结合实际认真贯彻落实。</w:t>
      </w: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spacing w:line="600" w:lineRule="exact"/>
        <w:ind w:left="3360" w:leftChars="160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湖南省人民政府办公厅</w:t>
      </w:r>
    </w:p>
    <w:p>
      <w:pPr>
        <w:spacing w:line="600" w:lineRule="exact"/>
        <w:ind w:left="3360" w:leftChars="160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2024年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11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15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>
      <w:pPr>
        <w:pStyle w:val="2"/>
        <w:ind w:left="42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（此件主动公开）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关于进一步推进养老服务高质量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发展的十条措施</w:t>
      </w:r>
    </w:p>
    <w:p>
      <w:pPr>
        <w:spacing w:line="580" w:lineRule="exact"/>
        <w:rPr>
          <w:rFonts w:ascii="Times New Roman" w:hAnsi="Times New Roman" w:eastAsia="仿宋_GB2312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为深入贯彻党的二十大和二十届</w:t>
      </w:r>
      <w:r>
        <w:rPr>
          <w:rFonts w:hint="eastAsia" w:ascii="Times New Roman" w:hAnsi="Times New Roman" w:eastAsia="仿宋_GB2312"/>
          <w:sz w:val="32"/>
          <w:szCs w:val="32"/>
        </w:rPr>
        <w:t>二中、</w:t>
      </w:r>
      <w:r>
        <w:rPr>
          <w:rFonts w:ascii="Times New Roman" w:hAnsi="Times New Roman" w:eastAsia="仿宋_GB2312"/>
          <w:sz w:val="32"/>
          <w:szCs w:val="32"/>
        </w:rPr>
        <w:t>三中全会精神，积极应对人口老龄化，满足老年人日益增长的多样化、多层次养老服务需求，加快构建与我省经济社会发展水平相适应、与老年人实际需求相匹配的养老服务体系，推动全省养老服务高质量发展，特制定以下措施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ascii="黑体" w:hAnsi="黑体" w:eastAsia="黑体" w:cs="黑体"/>
          <w:bCs/>
          <w:sz w:val="32"/>
          <w:szCs w:val="32"/>
        </w:rPr>
        <w:t>加强养老服务体系统筹布局。</w:t>
      </w:r>
      <w:r>
        <w:rPr>
          <w:rFonts w:hint="eastAsia" w:ascii="Times New Roman" w:hAnsi="Times New Roman" w:eastAsia="仿宋_GB2312"/>
          <w:sz w:val="32"/>
          <w:szCs w:val="32"/>
        </w:rPr>
        <w:t>将养老服务设施纳入国土空间规划，</w:t>
      </w:r>
      <w:r>
        <w:rPr>
          <w:rFonts w:ascii="Times New Roman" w:hAnsi="Times New Roman" w:eastAsia="仿宋_GB2312"/>
          <w:sz w:val="32"/>
          <w:szCs w:val="32"/>
        </w:rPr>
        <w:t>完善县乡村三级养老服务网络</w:t>
      </w:r>
      <w:r>
        <w:rPr>
          <w:rFonts w:hint="eastAsia" w:ascii="Times New Roman" w:hAnsi="Times New Roman" w:eastAsia="仿宋_GB2312"/>
          <w:sz w:val="32"/>
          <w:szCs w:val="32"/>
        </w:rPr>
        <w:t>。发挥市、县级</w:t>
      </w:r>
      <w:r>
        <w:rPr>
          <w:rFonts w:ascii="Times New Roman" w:hAnsi="Times New Roman" w:eastAsia="仿宋_GB2312"/>
          <w:sz w:val="32"/>
          <w:szCs w:val="32"/>
        </w:rPr>
        <w:t>养老服务指导中心统筹指导功能，建设街道（乡镇）区域养老服务中心，原则上街道（乡镇）提供至少1处具有一定规模的养老服务设施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确保能提供</w:t>
      </w:r>
      <w:r>
        <w:rPr>
          <w:rFonts w:hint="eastAsia" w:ascii="Times New Roman" w:hAnsi="Times New Roman" w:eastAsia="仿宋_GB2312"/>
          <w:sz w:val="32"/>
          <w:szCs w:val="32"/>
        </w:rPr>
        <w:t>失能照护、老年食堂以及助浴助洁助医助行</w:t>
      </w:r>
      <w:r>
        <w:rPr>
          <w:rFonts w:ascii="Times New Roman" w:hAnsi="Times New Roman" w:eastAsia="仿宋_GB2312"/>
          <w:sz w:val="32"/>
          <w:szCs w:val="32"/>
        </w:rPr>
        <w:t>等综合服务。进一步优化养老服务设施布局，严格落实新建居住区</w:t>
      </w:r>
      <w:r>
        <w:rPr>
          <w:rFonts w:hint="eastAsia" w:ascii="Times New Roman" w:hAnsi="Times New Roman" w:eastAsia="仿宋_GB2312"/>
          <w:sz w:val="32"/>
          <w:szCs w:val="32"/>
        </w:rPr>
        <w:t>与配套养老服务设施“同步规划、同步建设、同步验收、同步交付使用”</w:t>
      </w:r>
      <w:r>
        <w:rPr>
          <w:rFonts w:ascii="Times New Roman" w:hAnsi="Times New Roman" w:eastAsia="仿宋_GB2312"/>
          <w:sz w:val="32"/>
          <w:szCs w:val="32"/>
        </w:rPr>
        <w:t>政策，确保同步配建养老服务设施。开展补短板行动，补充和完善</w:t>
      </w:r>
      <w:r>
        <w:rPr>
          <w:rFonts w:hint="eastAsia" w:ascii="Times New Roman" w:hAnsi="Times New Roman" w:eastAsia="仿宋_GB2312"/>
          <w:sz w:val="32"/>
          <w:szCs w:val="32"/>
        </w:rPr>
        <w:t>老城区和已建成居住区的养老服务设施</w:t>
      </w:r>
      <w:r>
        <w:rPr>
          <w:rFonts w:ascii="Times New Roman" w:hAnsi="Times New Roman" w:eastAsia="仿宋_GB2312"/>
          <w:sz w:val="32"/>
          <w:szCs w:val="32"/>
        </w:rPr>
        <w:t>，解决现有养老服务设施不足的问题。开展城乡现有闲置</w:t>
      </w:r>
      <w:r>
        <w:rPr>
          <w:rFonts w:hint="eastAsia" w:ascii="Times New Roman" w:hAnsi="Times New Roman" w:eastAsia="仿宋_GB2312"/>
          <w:sz w:val="32"/>
          <w:szCs w:val="32"/>
        </w:rPr>
        <w:t>国有</w:t>
      </w:r>
      <w:r>
        <w:rPr>
          <w:rFonts w:ascii="Times New Roman" w:hAnsi="Times New Roman" w:eastAsia="仿宋_GB2312"/>
          <w:sz w:val="32"/>
          <w:szCs w:val="32"/>
        </w:rPr>
        <w:t>资产调查，摸清闲置社会资源，盘活用于养老服务。对利用闲置国有企业和公有房产开展养老服务的，</w:t>
      </w:r>
      <w:r>
        <w:rPr>
          <w:rFonts w:hint="eastAsia" w:ascii="Times New Roman" w:hAnsi="Times New Roman" w:eastAsia="仿宋_GB2312"/>
          <w:sz w:val="32"/>
          <w:szCs w:val="32"/>
        </w:rPr>
        <w:t>给予免租降租</w:t>
      </w:r>
      <w:r>
        <w:rPr>
          <w:rFonts w:ascii="Times New Roman" w:hAnsi="Times New Roman" w:eastAsia="仿宋_GB2312"/>
          <w:sz w:val="32"/>
          <w:szCs w:val="32"/>
        </w:rPr>
        <w:t>、延长租期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优先续租等支持政策。</w:t>
      </w:r>
      <w:r>
        <w:rPr>
          <w:rFonts w:ascii="楷体_GB2312" w:hAnsi="Times New Roman" w:eastAsia="楷体_GB2312"/>
          <w:kern w:val="0"/>
          <w:sz w:val="32"/>
          <w:szCs w:val="32"/>
        </w:rPr>
        <w:t>（省发展改革委、省住房城乡建设厅、省自然资源厅、省市场监管局、省民政厅、省国资委等有关单位按职责分工负责）</w:t>
      </w:r>
    </w:p>
    <w:p>
      <w:pPr>
        <w:spacing w:line="580" w:lineRule="exact"/>
        <w:ind w:firstLine="640" w:firstLineChars="200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二、优化居家和社区养老服务供</w:t>
      </w:r>
      <w:r>
        <w:rPr>
          <w:rFonts w:ascii="黑体" w:hAnsi="黑体" w:eastAsia="黑体"/>
          <w:sz w:val="32"/>
          <w:szCs w:val="32"/>
        </w:rPr>
        <w:t>给。</w:t>
      </w:r>
      <w:r>
        <w:rPr>
          <w:rFonts w:ascii="Times New Roman" w:hAnsi="Times New Roman" w:eastAsia="仿宋_GB2312"/>
          <w:sz w:val="32"/>
          <w:szCs w:val="32"/>
        </w:rPr>
        <w:t>推进居家养老服务供给侧结构性改革，完善家庭养老照护政策，推进政府引导与市场化运作相结合的服务供给模式，扩大居家养老服务覆盖面。</w:t>
      </w:r>
      <w:r>
        <w:rPr>
          <w:rFonts w:hint="eastAsia" w:ascii="Times New Roman" w:hAnsi="Times New Roman" w:eastAsia="仿宋_GB2312"/>
          <w:sz w:val="32"/>
          <w:szCs w:val="32"/>
        </w:rPr>
        <w:t>大力培育社区嵌入式养老服务机构，加强家庭养老床位建设，夯实居家上门服务的支持基础。</w:t>
      </w:r>
      <w:r>
        <w:rPr>
          <w:rFonts w:ascii="Times New Roman" w:hAnsi="Times New Roman" w:eastAsia="仿宋_GB2312"/>
          <w:sz w:val="32"/>
          <w:szCs w:val="32"/>
        </w:rPr>
        <w:t>精准摸清辖区内老年人服务需求，依托社区养老服务设施，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搭建高效供需对接平台，实现24小时无缝服务。优化社区养老服务点，延伸街道（乡镇）区域养老服务中心服务功能，提供助医、探访等日常服务。建立健全养老助餐服务体系，发挥街道（乡镇）区域养老服务中心在助餐服务中的主力军作用，积极吸引社会餐饮企业、集体用餐配送单位等多方参与，打造覆盖广泛、供给丰富、高效便捷的助餐服务网络。推进适老化改造，重点支持经济困难及有特殊需求老年人的居家改造，鼓励发展社区康复辅助器具租赁服务。着力培育优质经营主体，助力专业居家社区养老服务组织和企业发展，拓展康复辅具、智能佩戴、医疗保健、健康咨询、居家上门等服务的产业链条。</w:t>
      </w:r>
      <w:r>
        <w:rPr>
          <w:rFonts w:ascii="楷体_GB2312" w:hAnsi="Times New Roman" w:eastAsia="楷体_GB2312"/>
          <w:kern w:val="0"/>
          <w:sz w:val="32"/>
          <w:szCs w:val="32"/>
        </w:rPr>
        <w:t>（省市场监管局、省发展改革委、省民政厅等有关单位按职责分工负责）</w:t>
      </w:r>
    </w:p>
    <w:p>
      <w:pPr>
        <w:spacing w:line="580" w:lineRule="exact"/>
        <w:ind w:firstLine="640" w:firstLineChars="200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三、推动机构养老服务提质增效。</w:t>
      </w:r>
      <w:r>
        <w:rPr>
          <w:rFonts w:ascii="Times New Roman" w:hAnsi="Times New Roman" w:eastAsia="仿宋_GB2312"/>
          <w:sz w:val="32"/>
          <w:szCs w:val="32"/>
        </w:rPr>
        <w:t>完善兜底养老服务供给，鼓励开展设施建设和改造提升工程。</w:t>
      </w:r>
      <w:r>
        <w:rPr>
          <w:rFonts w:hint="eastAsia" w:ascii="Times New Roman" w:hAnsi="Times New Roman" w:eastAsia="仿宋_GB2312"/>
          <w:sz w:val="32"/>
          <w:szCs w:val="32"/>
        </w:rPr>
        <w:t>引导支持各类养老机构提高护理型床位比例，加强医养、康养资源对接，重点收住失能失智老人。</w:t>
      </w:r>
      <w:r>
        <w:rPr>
          <w:rFonts w:ascii="Times New Roman" w:hAnsi="Times New Roman" w:eastAsia="仿宋_GB2312"/>
          <w:sz w:val="32"/>
          <w:szCs w:val="32"/>
        </w:rPr>
        <w:t>健全养老服务标准体系，强化标准实施</w:t>
      </w:r>
      <w:r>
        <w:rPr>
          <w:rFonts w:hint="eastAsia" w:ascii="Times New Roman" w:hAnsi="Times New Roman" w:eastAsia="仿宋_GB2312"/>
          <w:sz w:val="32"/>
          <w:szCs w:val="32"/>
        </w:rPr>
        <w:t>执行</w:t>
      </w:r>
      <w:r>
        <w:rPr>
          <w:rFonts w:ascii="Times New Roman" w:hAnsi="Times New Roman" w:eastAsia="仿宋_GB2312"/>
          <w:sz w:val="32"/>
          <w:szCs w:val="32"/>
        </w:rPr>
        <w:t>，确保《养老机构服务质量基本规范》《养老机构服务安全基本规范》达标率100%。全面实施养老机构等级评定，健全与养老</w:t>
      </w:r>
      <w:r>
        <w:rPr>
          <w:rFonts w:hint="eastAsia" w:ascii="Times New Roman" w:hAnsi="Times New Roman" w:eastAsia="仿宋_GB2312"/>
          <w:sz w:val="32"/>
          <w:szCs w:val="32"/>
        </w:rPr>
        <w:t>机构</w:t>
      </w:r>
      <w:r>
        <w:rPr>
          <w:rFonts w:ascii="Times New Roman" w:hAnsi="Times New Roman" w:eastAsia="仿宋_GB2312"/>
          <w:sz w:val="32"/>
          <w:szCs w:val="32"/>
        </w:rPr>
        <w:t>等级挂钩的</w:t>
      </w:r>
      <w:r>
        <w:rPr>
          <w:rFonts w:hint="eastAsia" w:ascii="Times New Roman" w:hAnsi="Times New Roman" w:eastAsia="仿宋_GB2312"/>
          <w:sz w:val="32"/>
          <w:szCs w:val="32"/>
        </w:rPr>
        <w:t>相关补助政策</w:t>
      </w:r>
      <w:r>
        <w:rPr>
          <w:rFonts w:ascii="Times New Roman" w:hAnsi="Times New Roman" w:eastAsia="仿宋_GB2312"/>
          <w:sz w:val="32"/>
          <w:szCs w:val="32"/>
        </w:rPr>
        <w:t>。鼓励国有企业、社会力量参与养老服务设施建设和运营管理，</w:t>
      </w:r>
      <w:r>
        <w:rPr>
          <w:rFonts w:hint="eastAsia" w:ascii="Times New Roman" w:hAnsi="Times New Roman" w:eastAsia="仿宋_GB2312"/>
          <w:sz w:val="32"/>
          <w:szCs w:val="32"/>
        </w:rPr>
        <w:t>增强</w:t>
      </w:r>
      <w:r>
        <w:rPr>
          <w:rFonts w:ascii="Times New Roman" w:hAnsi="Times New Roman" w:eastAsia="仿宋_GB2312"/>
          <w:sz w:val="32"/>
          <w:szCs w:val="32"/>
        </w:rPr>
        <w:t>养老服务领域有效供给。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（</w:t>
      </w:r>
      <w:r>
        <w:rPr>
          <w:rFonts w:ascii="楷体_GB2312" w:hAnsi="Times New Roman" w:eastAsia="楷体_GB2312"/>
          <w:kern w:val="0"/>
          <w:sz w:val="32"/>
          <w:szCs w:val="32"/>
        </w:rPr>
        <w:t>省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发展改革</w:t>
      </w:r>
      <w:r>
        <w:rPr>
          <w:rFonts w:ascii="楷体_GB2312" w:hAnsi="Times New Roman" w:eastAsia="楷体_GB2312"/>
          <w:kern w:val="0"/>
          <w:sz w:val="32"/>
          <w:szCs w:val="32"/>
        </w:rPr>
        <w:t>委、省民政厅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、</w:t>
      </w:r>
      <w:r>
        <w:rPr>
          <w:rFonts w:ascii="楷体_GB2312" w:hAnsi="Times New Roman" w:eastAsia="楷体_GB2312"/>
          <w:kern w:val="0"/>
          <w:sz w:val="32"/>
          <w:szCs w:val="32"/>
        </w:rPr>
        <w:t>省国资委等有关单位按职责分工负责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）</w:t>
      </w:r>
    </w:p>
    <w:p>
      <w:pPr>
        <w:spacing w:line="580" w:lineRule="exact"/>
        <w:ind w:firstLine="640" w:firstLineChars="200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四、加快农村养老服务提质升级。</w:t>
      </w:r>
      <w:r>
        <w:rPr>
          <w:rFonts w:hint="eastAsia" w:ascii="仿宋_GB2312" w:hAnsi="Times New Roman" w:eastAsia="仿宋_GB2312"/>
          <w:sz w:val="32"/>
          <w:szCs w:val="32"/>
        </w:rPr>
        <w:t>完善农村养老服务设施，新改建一批区域性中心敬老院。优化拓展乡镇敬老院服务功能，开展失能老年人托养、居家上门等多样化服务。鼓励有条件的村使用农村集体建设用地建设养老服务设施，满足农村老年人的养老服务需求。大力发展农村互助养老，建立健全志愿服务储蓄、回馈、激励与评价机制。支持公益慈善组织围绕农村老年人养老需求，开展定向募捐、慈善信托等公益慈善活动，设立关爱服务项目。推进公办养老机构管理体制改革，探索实施乡镇敬老院由“乡建乡管”转变为“县建县管”，县级民政部门统筹推进乡镇敬老院“关停并转”工作。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（</w:t>
      </w:r>
      <w:r>
        <w:rPr>
          <w:rFonts w:ascii="楷体_GB2312" w:hAnsi="Times New Roman" w:eastAsia="楷体_GB2312"/>
          <w:kern w:val="0"/>
          <w:sz w:val="32"/>
          <w:szCs w:val="32"/>
        </w:rPr>
        <w:t>省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住房城乡建设</w:t>
      </w:r>
      <w:r>
        <w:rPr>
          <w:rFonts w:ascii="楷体_GB2312" w:hAnsi="Times New Roman" w:eastAsia="楷体_GB2312"/>
          <w:kern w:val="0"/>
          <w:sz w:val="32"/>
          <w:szCs w:val="32"/>
        </w:rPr>
        <w:t>厅、省自然资源厅、省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发展改革</w:t>
      </w:r>
      <w:r>
        <w:rPr>
          <w:rFonts w:ascii="楷体_GB2312" w:hAnsi="Times New Roman" w:eastAsia="楷体_GB2312"/>
          <w:kern w:val="0"/>
          <w:sz w:val="32"/>
          <w:szCs w:val="32"/>
        </w:rPr>
        <w:t>委、省民政厅等有关单位按职责分工负责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）</w:t>
      </w:r>
    </w:p>
    <w:p>
      <w:pPr>
        <w:spacing w:line="580" w:lineRule="exact"/>
        <w:ind w:firstLine="640" w:firstLineChars="200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五、探索智慧养老创新发展。</w:t>
      </w:r>
      <w:r>
        <w:rPr>
          <w:rFonts w:hint="eastAsia" w:ascii="仿宋_GB2312" w:hAnsi="Times New Roman" w:eastAsia="仿宋_GB2312"/>
          <w:sz w:val="32"/>
          <w:szCs w:val="32"/>
        </w:rPr>
        <w:t>民政部门牵头完善养老综合管理与服务平台功能，打造智慧养老综合服务平台，加强服务供需对接，实现养老服务信息共享和便捷查询，打造“老有所养、老有所医、老有所为、老有所学、老有所乐”的为老服务场景。围绕重点应用场景，积极推动智慧健康养老企业和园区、基地建设，推进智慧护理、智慧医疗、智慧安防、智慧食堂等智慧养老场景落地应用。运用生命健康、生物技术、人工智能、大数据等技术手段，创新养老服务模式，推广智能养老设备和产品，提升老年用品及相关养老服务领域科技创新能力。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（</w:t>
      </w:r>
      <w:r>
        <w:rPr>
          <w:rFonts w:ascii="楷体_GB2312" w:hAnsi="Times New Roman" w:eastAsia="楷体_GB2312"/>
          <w:kern w:val="0"/>
          <w:sz w:val="32"/>
          <w:szCs w:val="32"/>
        </w:rPr>
        <w:t>省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工业和信息化</w:t>
      </w:r>
      <w:r>
        <w:rPr>
          <w:rFonts w:ascii="楷体_GB2312" w:hAnsi="Times New Roman" w:eastAsia="楷体_GB2312"/>
          <w:kern w:val="0"/>
          <w:sz w:val="32"/>
          <w:szCs w:val="32"/>
        </w:rPr>
        <w:t>厅、省科技厅、省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发展改革</w:t>
      </w:r>
      <w:r>
        <w:rPr>
          <w:rFonts w:ascii="楷体_GB2312" w:hAnsi="Times New Roman" w:eastAsia="楷体_GB2312"/>
          <w:kern w:val="0"/>
          <w:sz w:val="32"/>
          <w:szCs w:val="32"/>
        </w:rPr>
        <w:t>委、省民政厅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、省数据局、省文化和旅游厅</w:t>
      </w:r>
      <w:r>
        <w:rPr>
          <w:rFonts w:ascii="楷体_GB2312" w:hAnsi="Times New Roman" w:eastAsia="楷体_GB2312"/>
          <w:kern w:val="0"/>
          <w:sz w:val="32"/>
          <w:szCs w:val="32"/>
        </w:rPr>
        <w:t>等有关单位按职责分工负责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）</w:t>
      </w:r>
    </w:p>
    <w:p>
      <w:pPr>
        <w:spacing w:line="580" w:lineRule="exact"/>
        <w:ind w:firstLine="640" w:firstLineChars="200"/>
        <w:rPr>
          <w:rFonts w:ascii="楷体_GB2312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六、加大养老产业发展力度。</w:t>
      </w:r>
      <w:r>
        <w:rPr>
          <w:rFonts w:ascii="Times New Roman" w:hAnsi="Times New Roman" w:eastAsia="仿宋_GB2312"/>
          <w:sz w:val="32"/>
          <w:szCs w:val="32"/>
        </w:rPr>
        <w:t>积极推动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养老机</w:t>
      </w:r>
      <w:r>
        <w:rPr>
          <w:rFonts w:ascii="Times New Roman" w:hAnsi="Times New Roman" w:eastAsia="仿宋_GB2312"/>
          <w:sz w:val="32"/>
          <w:szCs w:val="32"/>
        </w:rPr>
        <w:t>构纾困发展，落实养老机构水电气优惠政策</w:t>
      </w:r>
      <w:r>
        <w:rPr>
          <w:rFonts w:hint="eastAsia" w:ascii="Times New Roman" w:hAnsi="Times New Roman" w:eastAsia="仿宋_GB2312"/>
          <w:sz w:val="32"/>
          <w:szCs w:val="32"/>
        </w:rPr>
        <w:t>。助力民办养老机构降低运营成本，为老年人提供价格可承受的普惠养老服务。</w:t>
      </w:r>
      <w:r>
        <w:rPr>
          <w:rFonts w:ascii="Times New Roman" w:hAnsi="Times New Roman" w:eastAsia="仿宋_GB2312"/>
          <w:sz w:val="32"/>
          <w:szCs w:val="32"/>
        </w:rPr>
        <w:t>引导鼓励国有资本进入养老行业，</w:t>
      </w:r>
      <w:r>
        <w:rPr>
          <w:rFonts w:ascii="Times New Roman" w:hAnsi="Times New Roman" w:eastAsia="仿宋_GB2312"/>
          <w:kern w:val="0"/>
          <w:sz w:val="32"/>
          <w:szCs w:val="32"/>
        </w:rPr>
        <w:t>引进国内外养老服务知名企业，大力培育扶持品牌发展。</w:t>
      </w:r>
      <w:r>
        <w:rPr>
          <w:rFonts w:ascii="Times New Roman" w:hAnsi="Times New Roman" w:eastAsia="仿宋_GB2312"/>
          <w:sz w:val="32"/>
          <w:szCs w:val="32"/>
        </w:rPr>
        <w:t>深</w:t>
      </w:r>
      <w:r>
        <w:rPr>
          <w:rFonts w:ascii="Times New Roman" w:hAnsi="Times New Roman" w:eastAsia="仿宋_GB2312"/>
          <w:kern w:val="0"/>
          <w:sz w:val="32"/>
          <w:szCs w:val="32"/>
        </w:rPr>
        <w:t>化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养老机构</w:t>
      </w:r>
      <w:r>
        <w:rPr>
          <w:rFonts w:ascii="Times New Roman" w:hAnsi="Times New Roman" w:eastAsia="仿宋_GB2312"/>
          <w:kern w:val="0"/>
          <w:sz w:val="32"/>
          <w:szCs w:val="32"/>
        </w:rPr>
        <w:t>与大型国有企业、金融机构、互联网平台公司战略合作。鼓励延伸上下游产业链，鼓励有条件的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市州、县市区</w:t>
      </w:r>
      <w:r>
        <w:rPr>
          <w:rFonts w:ascii="Times New Roman" w:hAnsi="Times New Roman" w:eastAsia="仿宋_GB2312"/>
          <w:kern w:val="0"/>
          <w:sz w:val="32"/>
          <w:szCs w:val="32"/>
        </w:rPr>
        <w:t>建立银发经济示范园区，推进养老产业集群发展。</w:t>
      </w:r>
      <w:r>
        <w:rPr>
          <w:rFonts w:ascii="Times New Roman" w:hAnsi="Times New Roman" w:eastAsia="仿宋_GB2312"/>
          <w:sz w:val="32"/>
          <w:szCs w:val="32"/>
        </w:rPr>
        <w:t>支持养老与相关行业融合发展，丰富服务模式与业态，拓展旅居养老、文化养老、健康养老等新型消费领域。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（</w:t>
      </w:r>
      <w:r>
        <w:rPr>
          <w:rFonts w:ascii="楷体_GB2312" w:hAnsi="Times New Roman" w:eastAsia="楷体_GB2312"/>
          <w:kern w:val="0"/>
          <w:sz w:val="32"/>
          <w:szCs w:val="32"/>
        </w:rPr>
        <w:t>省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发展改革</w:t>
      </w:r>
      <w:r>
        <w:rPr>
          <w:rFonts w:ascii="楷体_GB2312" w:hAnsi="Times New Roman" w:eastAsia="楷体_GB2312"/>
          <w:kern w:val="0"/>
          <w:sz w:val="32"/>
          <w:szCs w:val="32"/>
        </w:rPr>
        <w:t>委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、</w:t>
      </w:r>
      <w:r>
        <w:rPr>
          <w:rFonts w:ascii="楷体_GB2312" w:hAnsi="Times New Roman" w:eastAsia="楷体_GB2312"/>
          <w:kern w:val="0"/>
          <w:sz w:val="32"/>
          <w:szCs w:val="32"/>
        </w:rPr>
        <w:t>省财政厅、省民政厅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、省文化和旅游厅、</w:t>
      </w:r>
      <w:r>
        <w:rPr>
          <w:rFonts w:ascii="楷体_GB2312" w:hAnsi="Times New Roman" w:eastAsia="楷体_GB2312"/>
          <w:kern w:val="0"/>
          <w:sz w:val="32"/>
          <w:szCs w:val="32"/>
        </w:rPr>
        <w:t>省国资委等有关单位按职责分工负责</w:t>
      </w:r>
      <w:r>
        <w:rPr>
          <w:rFonts w:hint="eastAsia" w:ascii="楷体_GB2312" w:hAnsi="Times New Roman" w:eastAsia="楷体_GB2312"/>
          <w:kern w:val="0"/>
          <w:sz w:val="32"/>
          <w:szCs w:val="32"/>
        </w:rPr>
        <w:t>）</w:t>
      </w:r>
    </w:p>
    <w:p>
      <w:pPr>
        <w:pStyle w:val="10"/>
        <w:spacing w:line="580" w:lineRule="exact"/>
        <w:ind w:firstLine="640" w:firstLineChars="200"/>
        <w:jc w:val="both"/>
        <w:rPr>
          <w:rFonts w:ascii="楷体_GB2312" w:eastAsia="楷体_GB2312"/>
          <w:color w:val="auto"/>
          <w:sz w:val="32"/>
          <w:szCs w:val="32"/>
        </w:rPr>
      </w:pPr>
      <w:r>
        <w:rPr>
          <w:rFonts w:ascii="Times New Roman" w:eastAsia="黑体"/>
          <w:color w:val="auto"/>
          <w:kern w:val="2"/>
          <w:sz w:val="32"/>
          <w:szCs w:val="32"/>
        </w:rPr>
        <w:t>七、</w:t>
      </w:r>
      <w:r>
        <w:rPr>
          <w:rFonts w:hint="eastAsia" w:ascii="Times New Roman" w:eastAsia="黑体"/>
          <w:color w:val="auto"/>
          <w:kern w:val="2"/>
          <w:sz w:val="32"/>
          <w:szCs w:val="32"/>
        </w:rPr>
        <w:t>有序推进实施</w:t>
      </w:r>
      <w:r>
        <w:rPr>
          <w:rFonts w:ascii="Times New Roman" w:eastAsia="黑体"/>
          <w:color w:val="auto"/>
          <w:kern w:val="2"/>
          <w:sz w:val="32"/>
          <w:szCs w:val="32"/>
        </w:rPr>
        <w:t>长期护理保险制度。</w:t>
      </w:r>
      <w:r>
        <w:rPr>
          <w:rFonts w:ascii="Times New Roman" w:eastAsia="仿宋_GB2312"/>
          <w:color w:val="auto"/>
          <w:kern w:val="2"/>
          <w:sz w:val="32"/>
          <w:szCs w:val="32"/>
        </w:rPr>
        <w:t>探索建立互助共济、责任共担的筹资机制，</w:t>
      </w:r>
      <w:r>
        <w:rPr>
          <w:rFonts w:ascii="Times New Roman" w:eastAsia="仿宋_GB2312"/>
          <w:color w:val="auto"/>
          <w:sz w:val="32"/>
          <w:szCs w:val="32"/>
        </w:rPr>
        <w:t>有效整合相关政策，统筹推进长期护理保险体系建设。建立健全长期护理保险服务对象的能力评估、待遇标准、经办流程等制度，建立长期护理基本服务项目目录、失能等级评估、评估机构管理等标准，形成长期护理保险标准建设体系。做好与支持经济困难失能老年人集中照护服务政策的衔接。</w:t>
      </w: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ascii="楷体_GB2312" w:eastAsia="楷体_GB2312"/>
          <w:color w:val="auto"/>
          <w:sz w:val="32"/>
          <w:szCs w:val="32"/>
        </w:rPr>
        <w:t>省医保局、省民政厅、湖南金融监管局等有关单位按职责分工负责</w:t>
      </w:r>
      <w:r>
        <w:rPr>
          <w:rFonts w:hint="eastAsia" w:ascii="楷体_GB2312" w:eastAsia="楷体_GB2312"/>
          <w:color w:val="auto"/>
          <w:sz w:val="32"/>
          <w:szCs w:val="32"/>
        </w:rPr>
        <w:t>）</w:t>
      </w:r>
    </w:p>
    <w:p>
      <w:pPr>
        <w:pStyle w:val="10"/>
        <w:spacing w:line="580" w:lineRule="exact"/>
        <w:ind w:firstLine="640" w:firstLineChars="200"/>
        <w:jc w:val="both"/>
        <w:rPr>
          <w:rFonts w:ascii="楷体_GB2312" w:eastAsia="楷体_GB2312"/>
          <w:color w:val="auto"/>
          <w:sz w:val="32"/>
          <w:szCs w:val="32"/>
        </w:rPr>
      </w:pPr>
      <w:r>
        <w:rPr>
          <w:rFonts w:ascii="Times New Roman" w:eastAsia="黑体"/>
          <w:color w:val="auto"/>
          <w:kern w:val="2"/>
          <w:sz w:val="32"/>
          <w:szCs w:val="32"/>
        </w:rPr>
        <w:t>八、加强养老服务队伍建设。</w:t>
      </w:r>
      <w:r>
        <w:rPr>
          <w:rFonts w:ascii="Times New Roman" w:eastAsia="仿宋_GB2312"/>
          <w:color w:val="auto"/>
          <w:sz w:val="32"/>
          <w:szCs w:val="32"/>
        </w:rPr>
        <w:t>加强</w:t>
      </w:r>
      <w:r>
        <w:rPr>
          <w:rFonts w:hint="eastAsia" w:ascii="Times New Roman" w:eastAsia="仿宋_GB2312"/>
          <w:color w:val="auto"/>
          <w:sz w:val="32"/>
          <w:szCs w:val="32"/>
        </w:rPr>
        <w:t>养老服务</w:t>
      </w:r>
      <w:r>
        <w:rPr>
          <w:rFonts w:ascii="Times New Roman" w:eastAsia="仿宋_GB2312"/>
          <w:color w:val="auto"/>
          <w:sz w:val="32"/>
          <w:szCs w:val="32"/>
        </w:rPr>
        <w:t>人才队伍培养，利用职业院校和培训机构，对从事养老服务的管理、护理、专技等人员分类开展轮训实训，提高养老服务从业人员专业能力和综合素质。支持</w:t>
      </w:r>
      <w:r>
        <w:rPr>
          <w:rFonts w:hint="eastAsia" w:ascii="Times New Roman" w:eastAsia="仿宋_GB2312"/>
          <w:color w:val="auto"/>
          <w:sz w:val="32"/>
          <w:szCs w:val="32"/>
        </w:rPr>
        <w:t>省内外职业院校合作</w:t>
      </w:r>
      <w:r>
        <w:rPr>
          <w:rFonts w:asci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eastAsia="仿宋_GB2312"/>
          <w:color w:val="auto"/>
          <w:sz w:val="32"/>
          <w:szCs w:val="32"/>
        </w:rPr>
        <w:t>面向全国</w:t>
      </w:r>
      <w:r>
        <w:rPr>
          <w:rFonts w:ascii="Times New Roman" w:eastAsia="仿宋_GB2312"/>
          <w:color w:val="auto"/>
          <w:sz w:val="32"/>
          <w:szCs w:val="32"/>
        </w:rPr>
        <w:t>招生，定向培养养老服务专业人才。</w:t>
      </w:r>
      <w:r>
        <w:rPr>
          <w:rFonts w:hint="eastAsia" w:ascii="Times New Roman" w:eastAsia="仿宋_GB2312"/>
          <w:color w:val="auto"/>
          <w:sz w:val="32"/>
          <w:szCs w:val="32"/>
        </w:rPr>
        <w:t>支持省内医院、学校和养老机构融合发展，定向培训实用养老服务人才。</w:t>
      </w:r>
      <w:r>
        <w:rPr>
          <w:rFonts w:ascii="Times New Roman" w:eastAsia="仿宋_GB2312"/>
          <w:color w:val="auto"/>
          <w:sz w:val="32"/>
          <w:szCs w:val="32"/>
        </w:rPr>
        <w:t>将养老服务纳入我省人才引进重点支持领域范围，支持用人单位引进各类优秀</w:t>
      </w:r>
      <w:r>
        <w:rPr>
          <w:rFonts w:hint="eastAsia" w:ascii="Times New Roman" w:eastAsia="仿宋_GB2312"/>
          <w:color w:val="auto"/>
          <w:sz w:val="32"/>
          <w:szCs w:val="32"/>
        </w:rPr>
        <w:t>养老服务</w:t>
      </w:r>
      <w:r>
        <w:rPr>
          <w:rFonts w:ascii="Times New Roman" w:eastAsia="仿宋_GB2312"/>
          <w:color w:val="auto"/>
          <w:sz w:val="32"/>
          <w:szCs w:val="32"/>
        </w:rPr>
        <w:t>人才。</w:t>
      </w:r>
      <w:r>
        <w:rPr>
          <w:rFonts w:hint="eastAsia" w:ascii="Times New Roman" w:eastAsia="仿宋_GB2312"/>
          <w:color w:val="auto"/>
          <w:sz w:val="32"/>
          <w:szCs w:val="32"/>
        </w:rPr>
        <w:t>强化人才队伍激励，支持用人单位发放养老服务从业人员一次性入职补贴、养老服务岗位补贴等，稳步提高养老服务一线工作人员工资待遇水平</w:t>
      </w:r>
      <w:r>
        <w:rPr>
          <w:rFonts w:ascii="Times New Roman" w:eastAsia="仿宋_GB2312"/>
          <w:color w:val="auto"/>
          <w:sz w:val="32"/>
          <w:szCs w:val="32"/>
        </w:rPr>
        <w:t>。按规定落实养老服务从业人员职业培训补贴、职业技能补贴等政策，打通养老护理员职业晋升通道。加大先进典型宣传力度，在全社会营造认可养老服务人才、尊重养老服务人才的良好风尚。</w:t>
      </w: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ascii="楷体_GB2312" w:eastAsia="楷体_GB2312"/>
          <w:color w:val="auto"/>
          <w:sz w:val="32"/>
          <w:szCs w:val="32"/>
        </w:rPr>
        <w:t>省</w:t>
      </w:r>
      <w:r>
        <w:rPr>
          <w:rFonts w:hint="eastAsia" w:ascii="楷体_GB2312" w:eastAsia="楷体_GB2312"/>
          <w:color w:val="auto"/>
          <w:sz w:val="32"/>
          <w:szCs w:val="32"/>
        </w:rPr>
        <w:t>人力资源社会保障</w:t>
      </w:r>
      <w:r>
        <w:rPr>
          <w:rFonts w:ascii="楷体_GB2312" w:eastAsia="楷体_GB2312"/>
          <w:color w:val="auto"/>
          <w:sz w:val="32"/>
          <w:szCs w:val="32"/>
        </w:rPr>
        <w:t>厅、省财政厅、省民政厅等有关单位按职责分工负责</w:t>
      </w:r>
      <w:r>
        <w:rPr>
          <w:rFonts w:hint="eastAsia" w:ascii="楷体_GB2312" w:eastAsia="楷体_GB2312"/>
          <w:color w:val="auto"/>
          <w:sz w:val="32"/>
          <w:szCs w:val="32"/>
        </w:rPr>
        <w:t>）</w:t>
      </w:r>
    </w:p>
    <w:p>
      <w:pPr>
        <w:pStyle w:val="10"/>
        <w:spacing w:line="580" w:lineRule="exact"/>
        <w:ind w:firstLine="640" w:firstLineChars="200"/>
        <w:jc w:val="both"/>
        <w:rPr>
          <w:rFonts w:ascii="楷体_GB2312" w:eastAsia="楷体_GB2312"/>
          <w:color w:val="auto"/>
          <w:sz w:val="32"/>
          <w:szCs w:val="32"/>
        </w:rPr>
      </w:pPr>
      <w:r>
        <w:rPr>
          <w:rFonts w:ascii="Times New Roman" w:eastAsia="黑体"/>
          <w:color w:val="auto"/>
          <w:sz w:val="32"/>
          <w:szCs w:val="32"/>
        </w:rPr>
        <w:t>九、提升养老服务监管效能。</w:t>
      </w:r>
      <w:r>
        <w:rPr>
          <w:rFonts w:hint="eastAsia" w:ascii="仿宋_GB2312" w:eastAsia="仿宋_GB2312"/>
          <w:color w:val="auto"/>
          <w:sz w:val="32"/>
          <w:szCs w:val="32"/>
        </w:rPr>
        <w:t>加强相关单位的协同配合，建立跨部门综合监管机制。完善养老服务失信联合惩戒和信息披露制度，建立养老服务行业信用体系，依法依规实施养老服务行业“黑白”名单管理。持续推进养老服务机构消防隐患整治，兜牢安全底线。加强对养老服务领域非法集资、诈骗等违法行为的风险排查、监测预警和持续整治。加强养老机构预收费收取、管理、使用、退费的监管，规范引导养老机构健康发展，防范化解非法</w:t>
      </w:r>
      <w:r>
        <w:rPr>
          <w:rFonts w:hint="eastAsia" w:ascii="Times New Roman" w:eastAsia="仿宋_GB2312"/>
          <w:color w:val="auto"/>
          <w:sz w:val="32"/>
          <w:szCs w:val="32"/>
        </w:rPr>
        <w:t>集资等非法金融活动风险。</w:t>
      </w: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ascii="楷体_GB2312" w:eastAsia="楷体_GB2312"/>
          <w:color w:val="auto"/>
          <w:sz w:val="32"/>
          <w:szCs w:val="32"/>
        </w:rPr>
        <w:t>省民政厅牵头，</w:t>
      </w:r>
      <w:r>
        <w:rPr>
          <w:rFonts w:hint="eastAsia" w:ascii="楷体_GB2312" w:eastAsia="楷体_GB2312"/>
          <w:color w:val="auto"/>
          <w:sz w:val="32"/>
          <w:szCs w:val="32"/>
        </w:rPr>
        <w:t>省市场监管局、省委金融办、省公安厅、省消防救援总队等</w:t>
      </w:r>
      <w:r>
        <w:rPr>
          <w:rFonts w:ascii="楷体_GB2312" w:eastAsia="楷体_GB2312"/>
          <w:color w:val="auto"/>
          <w:sz w:val="32"/>
          <w:szCs w:val="32"/>
        </w:rPr>
        <w:t>有关单位按职责分工负责）</w:t>
      </w:r>
    </w:p>
    <w:p>
      <w:pPr>
        <w:pStyle w:val="10"/>
        <w:spacing w:line="580" w:lineRule="exact"/>
        <w:ind w:firstLine="640" w:firstLineChars="200"/>
        <w:jc w:val="both"/>
        <w:rPr>
          <w:rFonts w:ascii="楷体_GB2312" w:eastAsia="楷体_GB2312"/>
          <w:color w:val="auto"/>
          <w:sz w:val="32"/>
          <w:szCs w:val="32"/>
        </w:rPr>
      </w:pPr>
      <w:r>
        <w:rPr>
          <w:rFonts w:ascii="Times New Roman" w:eastAsia="黑体"/>
          <w:color w:val="auto"/>
          <w:sz w:val="32"/>
          <w:szCs w:val="32"/>
        </w:rPr>
        <w:t>十、强化养老服务高质量发展保障。</w:t>
      </w:r>
      <w:r>
        <w:rPr>
          <w:rFonts w:ascii="Times New Roman" w:eastAsia="仿宋_GB2312"/>
          <w:color w:val="auto"/>
          <w:sz w:val="32"/>
          <w:szCs w:val="32"/>
        </w:rPr>
        <w:t>健全常态化工作协调机制，明确各部门职责，及时研究</w:t>
      </w:r>
      <w:r>
        <w:rPr>
          <w:rFonts w:hint="eastAsia" w:ascii="Times New Roman" w:eastAsia="仿宋_GB2312"/>
          <w:color w:val="auto"/>
          <w:sz w:val="32"/>
          <w:szCs w:val="32"/>
        </w:rPr>
        <w:t>协调</w:t>
      </w:r>
      <w:r>
        <w:rPr>
          <w:rFonts w:ascii="Times New Roman" w:eastAsia="仿宋_GB2312"/>
          <w:color w:val="auto"/>
          <w:sz w:val="32"/>
          <w:szCs w:val="32"/>
        </w:rPr>
        <w:t>解决</w:t>
      </w:r>
      <w:r>
        <w:rPr>
          <w:rFonts w:hint="eastAsia" w:ascii="Times New Roman" w:eastAsia="仿宋_GB2312"/>
          <w:color w:val="auto"/>
          <w:sz w:val="32"/>
          <w:szCs w:val="32"/>
        </w:rPr>
        <w:t>养老服务工作</w:t>
      </w:r>
      <w:r>
        <w:rPr>
          <w:rFonts w:ascii="Times New Roman" w:eastAsia="仿宋_GB2312"/>
          <w:color w:val="auto"/>
          <w:sz w:val="32"/>
          <w:szCs w:val="32"/>
        </w:rPr>
        <w:t>重大问题，统筹推进养老服务高质量发展。推动形成多元投入机制，</w:t>
      </w:r>
      <w:r>
        <w:rPr>
          <w:rFonts w:hint="eastAsia" w:ascii="Times New Roman" w:eastAsia="仿宋_GB2312"/>
          <w:color w:val="auto"/>
          <w:sz w:val="32"/>
          <w:szCs w:val="32"/>
        </w:rPr>
        <w:t>提高</w:t>
      </w:r>
      <w:r>
        <w:rPr>
          <w:rFonts w:ascii="Times New Roman" w:eastAsia="仿宋_GB2312"/>
          <w:color w:val="auto"/>
          <w:sz w:val="32"/>
          <w:szCs w:val="32"/>
        </w:rPr>
        <w:t>养老领域财政投入的科学性、精准性、稳定性和连续性。完善养老服务补贴政策，优化养老服务补贴机制、方式、对象。鼓励和引导企业、社会组织、个人等社会力量，依法通过捐赠、设立慈善基金、志愿服务等方式提供支持和帮助。</w:t>
      </w:r>
      <w:r>
        <w:rPr>
          <w:rFonts w:hint="eastAsia" w:ascii="楷体_GB2312" w:eastAsia="楷体_GB2312"/>
          <w:color w:val="auto"/>
          <w:sz w:val="32"/>
          <w:szCs w:val="32"/>
        </w:rPr>
        <w:t>（省财政厅、省发展改革委、省民政厅等有关单位按职责分工负责）</w:t>
      </w:r>
    </w:p>
    <w:p>
      <w:pPr>
        <w:rPr>
          <w:rFonts w:ascii="Times New Roman" w:hAnsi="Times New Roman"/>
        </w:rPr>
      </w:pPr>
    </w:p>
    <w:p/>
    <w:p/>
    <w:sectPr>
      <w:footerReference r:id="rId3" w:type="default"/>
      <w:pgSz w:w="11906" w:h="16838"/>
      <w:pgMar w:top="2154" w:right="1361" w:bottom="1474" w:left="1587" w:header="0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259" w:wrap="around" w:vAnchor="text" w:hAnchor="margin" w:xAlign="outside" w:y="6"/>
      <w:rPr>
        <w:rStyle w:val="9"/>
        <w:rFonts w:ascii="宋体"/>
        <w:sz w:val="28"/>
        <w:szCs w:val="28"/>
      </w:rPr>
    </w:pPr>
    <w:r>
      <w:rPr>
        <w:rStyle w:val="9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6</w:t>
    </w:r>
    <w:r>
      <w:rPr>
        <w:rFonts w:hint="eastAsia" w:ascii="宋体"/>
        <w:sz w:val="28"/>
        <w:szCs w:val="28"/>
      </w:rPr>
      <w:fldChar w:fldCharType="end"/>
    </w:r>
    <w:r>
      <w:rPr>
        <w:rStyle w:val="9"/>
        <w:rFonts w:hint="eastAsia" w:asci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282"/>
    <w:rsid w:val="00107906"/>
    <w:rsid w:val="0023416E"/>
    <w:rsid w:val="0052338B"/>
    <w:rsid w:val="00594D8B"/>
    <w:rsid w:val="005D5282"/>
    <w:rsid w:val="00611F2F"/>
    <w:rsid w:val="0FF57F6F"/>
    <w:rsid w:val="0FFF8967"/>
    <w:rsid w:val="173BA2D7"/>
    <w:rsid w:val="23EF8CB7"/>
    <w:rsid w:val="35FD2805"/>
    <w:rsid w:val="37E285A7"/>
    <w:rsid w:val="3AEC486E"/>
    <w:rsid w:val="3DFFD9F3"/>
    <w:rsid w:val="3EDEE507"/>
    <w:rsid w:val="3FEFDC15"/>
    <w:rsid w:val="4FB71802"/>
    <w:rsid w:val="54FC2132"/>
    <w:rsid w:val="555384BD"/>
    <w:rsid w:val="5B48BAA0"/>
    <w:rsid w:val="5F3393E2"/>
    <w:rsid w:val="5F7BC33C"/>
    <w:rsid w:val="64DBFB62"/>
    <w:rsid w:val="666EFBB3"/>
    <w:rsid w:val="678FB58D"/>
    <w:rsid w:val="6823465B"/>
    <w:rsid w:val="6AD938BD"/>
    <w:rsid w:val="6AFF04B1"/>
    <w:rsid w:val="6FBF4DF1"/>
    <w:rsid w:val="71EFA7FD"/>
    <w:rsid w:val="73A9EFF9"/>
    <w:rsid w:val="73EBC6A9"/>
    <w:rsid w:val="75CD83CD"/>
    <w:rsid w:val="7776A415"/>
    <w:rsid w:val="77DA9308"/>
    <w:rsid w:val="77FB6DD6"/>
    <w:rsid w:val="787F78B7"/>
    <w:rsid w:val="7A97FF20"/>
    <w:rsid w:val="7B77EB78"/>
    <w:rsid w:val="7CFAE705"/>
    <w:rsid w:val="7DBF0105"/>
    <w:rsid w:val="7EA7634E"/>
    <w:rsid w:val="7EFF0662"/>
    <w:rsid w:val="7F3F1DB4"/>
    <w:rsid w:val="7F5F502E"/>
    <w:rsid w:val="7F6EA297"/>
    <w:rsid w:val="7FDFC728"/>
    <w:rsid w:val="7FDFD001"/>
    <w:rsid w:val="7FF528E6"/>
    <w:rsid w:val="7FF57AF6"/>
    <w:rsid w:val="7FF7B48B"/>
    <w:rsid w:val="7FFA510A"/>
    <w:rsid w:val="8BF77F90"/>
    <w:rsid w:val="8F5FC574"/>
    <w:rsid w:val="8FDF4F4E"/>
    <w:rsid w:val="9BFCB93F"/>
    <w:rsid w:val="9FFFEC53"/>
    <w:rsid w:val="A4FA0C0E"/>
    <w:rsid w:val="AEFD7851"/>
    <w:rsid w:val="B7F3CDAC"/>
    <w:rsid w:val="BEFFECF5"/>
    <w:rsid w:val="BF4F063B"/>
    <w:rsid w:val="C16F168F"/>
    <w:rsid w:val="CBF30E7F"/>
    <w:rsid w:val="CBFFD4A9"/>
    <w:rsid w:val="CEEA513C"/>
    <w:rsid w:val="D51F0ED4"/>
    <w:rsid w:val="D7B77AF6"/>
    <w:rsid w:val="D9F52233"/>
    <w:rsid w:val="DA7437D9"/>
    <w:rsid w:val="DEDFC67E"/>
    <w:rsid w:val="DF778E5E"/>
    <w:rsid w:val="DF7DB1BA"/>
    <w:rsid w:val="DFFA0A71"/>
    <w:rsid w:val="DFFF3F62"/>
    <w:rsid w:val="E4FF0CA7"/>
    <w:rsid w:val="E77FCAD5"/>
    <w:rsid w:val="E9D769B6"/>
    <w:rsid w:val="E9F735C7"/>
    <w:rsid w:val="EDB21947"/>
    <w:rsid w:val="EDF722B2"/>
    <w:rsid w:val="EF0DEFC6"/>
    <w:rsid w:val="EF7FFB7F"/>
    <w:rsid w:val="EFE87264"/>
    <w:rsid w:val="EFFDFAE4"/>
    <w:rsid w:val="F3B8164F"/>
    <w:rsid w:val="F6FCF5FF"/>
    <w:rsid w:val="F78F172D"/>
    <w:rsid w:val="F7F57A3C"/>
    <w:rsid w:val="F7F77C4F"/>
    <w:rsid w:val="F7FB5CF6"/>
    <w:rsid w:val="FA5B18FF"/>
    <w:rsid w:val="FB799A3E"/>
    <w:rsid w:val="FBBBA135"/>
    <w:rsid w:val="FBBE9A97"/>
    <w:rsid w:val="FBC6AA1C"/>
    <w:rsid w:val="FC6BD7B8"/>
    <w:rsid w:val="FD3F5F63"/>
    <w:rsid w:val="FDDF290B"/>
    <w:rsid w:val="FDED4E7E"/>
    <w:rsid w:val="FE5B8E51"/>
    <w:rsid w:val="FE7FFA3D"/>
    <w:rsid w:val="FEBB18C6"/>
    <w:rsid w:val="FEE6F4C9"/>
    <w:rsid w:val="FF5F6A5B"/>
    <w:rsid w:val="FF7D7540"/>
    <w:rsid w:val="FFEABA3E"/>
    <w:rsid w:val="FFF5A3F4"/>
    <w:rsid w:val="FFF9CF23"/>
    <w:rsid w:val="FFFB7554"/>
    <w:rsid w:val="FF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200" w:firstLine="420"/>
    </w:pPr>
    <w:rPr>
      <w:rFonts w:ascii="等线" w:eastAsia="等线" w:cs="宋体"/>
      <w:color w:val="000000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简体" w:hAnsi="Times New Roman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8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3285</Words>
  <Characters>61</Characters>
  <Lines>1</Lines>
  <Paragraphs>6</Paragraphs>
  <TotalTime>19</TotalTime>
  <ScaleCrop>false</ScaleCrop>
  <LinksUpToDate>false</LinksUpToDate>
  <CharactersWithSpaces>3340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2024-11-15T09:04:00Z</dcterms:created>
  <dc:creator>hunanmzt</dc:creator>
  <cp:lastModifiedBy>Lenovo</cp:lastModifiedBy>
  <cp:lastPrinted>2024-10-29T08:29:00Z</cp:lastPrinted>
  <dcterms:modified xsi:type="dcterms:W3CDTF">2024-11-26T01:33:35Z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35738B63C5276A367FED0E67B85D4D05</vt:lpwstr>
  </property>
</Properties>
</file>