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3C8F2">
      <w:pPr>
        <w:pStyle w:val="7"/>
        <w:rPr>
          <w:rFonts w:hint="eastAsia" w:eastAsia="宋体"/>
          <w:lang w:eastAsia="zh-CN"/>
        </w:rPr>
      </w:pPr>
    </w:p>
    <w:p w14:paraId="487F2DB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eastAsia="方正小标宋简体"/>
          <w:color w:val="auto"/>
          <w:spacing w:val="-8"/>
        </w:rPr>
      </w:pPr>
    </w:p>
    <w:p w14:paraId="45BBBD2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eastAsia="方正小标宋简体"/>
          <w:color w:val="auto"/>
          <w:spacing w:val="-8"/>
        </w:rPr>
      </w:pPr>
    </w:p>
    <w:p w14:paraId="076F08F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鲁人社字〔2024〕</w:t>
      </w:r>
      <w:r>
        <w:rPr>
          <w:rFonts w:hint="eastAsia" w:ascii="仿宋_GB2312" w:hAnsi="仿宋_GB2312" w:eastAsia="仿宋_GB2312" w:cs="仿宋_GB2312"/>
          <w:color w:val="auto"/>
          <w:spacing w:val="-8"/>
          <w:sz w:val="32"/>
          <w:szCs w:val="32"/>
          <w:lang w:val="en-US" w:eastAsia="zh-CN"/>
        </w:rPr>
        <w:t>123</w:t>
      </w:r>
      <w:r>
        <w:rPr>
          <w:rFonts w:hint="eastAsia" w:ascii="仿宋_GB2312" w:hAnsi="仿宋_GB2312" w:eastAsia="仿宋_GB2312" w:cs="仿宋_GB2312"/>
          <w:color w:val="auto"/>
          <w:spacing w:val="-8"/>
          <w:sz w:val="32"/>
          <w:szCs w:val="32"/>
        </w:rPr>
        <w:t>号</w:t>
      </w:r>
    </w:p>
    <w:p w14:paraId="13B658F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eastAsia="方正小标宋简体"/>
          <w:color w:val="auto"/>
          <w:spacing w:val="-8"/>
        </w:rPr>
      </w:pPr>
      <w:bookmarkStart w:id="0" w:name="_GoBack"/>
      <w:bookmarkEnd w:id="0"/>
    </w:p>
    <w:p w14:paraId="38C98D69">
      <w:pPr>
        <w:pStyle w:val="15"/>
      </w:pPr>
    </w:p>
    <w:p w14:paraId="39C75D38">
      <w:pPr>
        <w:pStyle w:val="15"/>
        <w:rPr>
          <w:rFonts w:hint="eastAsia"/>
        </w:rPr>
      </w:pPr>
      <w:r>
        <w:rPr>
          <w:rFonts w:hint="eastAsia"/>
        </w:rPr>
        <w:t>山东省人力资源和社会保障厅等4部门</w:t>
      </w:r>
    </w:p>
    <w:p w14:paraId="633B1081">
      <w:pPr>
        <w:pStyle w:val="15"/>
        <w:rPr>
          <w:rFonts w:hint="eastAsia"/>
        </w:rPr>
      </w:pPr>
      <w:r>
        <w:rPr>
          <w:rFonts w:hint="eastAsia"/>
        </w:rPr>
        <w:t>关于做好大龄领取失业保险金人员参加企业</w:t>
      </w:r>
    </w:p>
    <w:p w14:paraId="3586664F">
      <w:pPr>
        <w:pStyle w:val="15"/>
      </w:pPr>
      <w:r>
        <w:rPr>
          <w:rFonts w:hint="eastAsia"/>
        </w:rPr>
        <w:t>职工基本养老保险有关工作的通知</w:t>
      </w:r>
    </w:p>
    <w:p w14:paraId="7C5E5CA2">
      <w:pPr>
        <w:pStyle w:val="16"/>
        <w:ind w:firstLine="0" w:firstLineChars="0"/>
        <w:jc w:val="center"/>
      </w:pPr>
    </w:p>
    <w:p w14:paraId="02BE6B6F">
      <w:pPr>
        <w:pStyle w:val="16"/>
        <w:ind w:firstLine="0" w:firstLineChars="0"/>
      </w:pPr>
      <w:r>
        <w:rPr>
          <w:rFonts w:hint="eastAsia"/>
        </w:rPr>
        <w:t>各市人力资源社会保障局、财政局，国家税务总局山东省各市税务局，国家税务总局青岛市各区、市税务局：</w:t>
      </w:r>
    </w:p>
    <w:p w14:paraId="54DC8735">
      <w:pPr>
        <w:pStyle w:val="16"/>
        <w:ind w:firstLine="640" w:firstLineChars="0"/>
      </w:pPr>
      <w:r>
        <w:rPr>
          <w:rFonts w:hint="eastAsia"/>
        </w:rPr>
        <w:t>根据《人力资源社会保障部财政部国家税务总局关于大龄领取失业保险金人员参加企业职工基本养老保险有关问题的通知》（人社部发</w:t>
      </w:r>
      <w:r>
        <w:rPr>
          <w:rFonts w:hint="eastAsia" w:ascii="仿宋_GB2312" w:hAnsi="仿宋_GB2312" w:cs="仿宋_GB2312"/>
        </w:rPr>
        <w:t>〔2024〕76号）</w:t>
      </w:r>
      <w:r>
        <w:rPr>
          <w:rFonts w:hint="eastAsia"/>
        </w:rPr>
        <w:t>，现就做好大龄领取失业保险金人员参加企业职工基本养老保险有关工作通知如下：</w:t>
      </w:r>
    </w:p>
    <w:p w14:paraId="23B62B66">
      <w:pPr>
        <w:pStyle w:val="16"/>
        <w:numPr>
          <w:ilvl w:val="-1"/>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一、</w:t>
      </w:r>
      <w:r>
        <w:rPr>
          <w:rFonts w:hint="eastAsia" w:ascii="黑体" w:hAnsi="黑体" w:eastAsia="黑体" w:cs="黑体"/>
        </w:rPr>
        <w:t>适用人员范围。</w:t>
      </w:r>
      <w:r>
        <w:rPr>
          <w:rFonts w:hint="eastAsia"/>
        </w:rPr>
        <w:t>本通知所称大龄领取失业保险金人员（以下简称大龄领金人员）是指领取失业保险金且距离法定退休年龄不</w:t>
      </w:r>
      <w:r>
        <w:rPr>
          <w:rFonts w:hint="eastAsia" w:ascii="仿宋_GB2312" w:hAnsi="仿宋_GB2312" w:eastAsia="仿宋_GB2312" w:cs="仿宋_GB2312"/>
        </w:rPr>
        <w:t>足1年的失业人员，含领取失业保险金期满仍未就业且距离法定退休年龄不足1年而继续发放失业保险金至法定退休年龄的失业人员。</w:t>
      </w:r>
    </w:p>
    <w:p w14:paraId="4F58E219">
      <w:pPr>
        <w:pStyle w:val="16"/>
        <w:ind w:firstLine="640" w:firstLineChars="0"/>
        <w:rPr>
          <w:rFonts w:hint="eastAsia" w:ascii="黑体" w:hAnsi="黑体" w:eastAsia="黑体" w:cs="黑体"/>
        </w:rPr>
      </w:pPr>
      <w:r>
        <w:rPr>
          <w:rFonts w:hint="eastAsia" w:ascii="黑体" w:hAnsi="黑体" w:eastAsia="黑体" w:cs="黑体"/>
        </w:rPr>
        <w:t>二、支付标准。</w:t>
      </w:r>
      <w:r>
        <w:rPr>
          <w:rFonts w:hint="eastAsia"/>
        </w:rPr>
        <w:t>大龄领金人员在</w:t>
      </w:r>
      <w:r>
        <w:rPr>
          <w:rFonts w:hint="eastAsia"/>
          <w:lang w:eastAsia="zh-CN"/>
        </w:rPr>
        <w:t>失业保险金领取地</w:t>
      </w:r>
      <w:r>
        <w:rPr>
          <w:rFonts w:hint="eastAsia"/>
        </w:rPr>
        <w:t>以个人身份参加企业职工基本养老保险并缴费，其中按当地灵活就业人员最低缴费标准的部分由失业保险基金支付，从“失业保险待遇支出”科目列支。</w:t>
      </w:r>
    </w:p>
    <w:p w14:paraId="793C413C">
      <w:pPr>
        <w:pStyle w:val="16"/>
        <w:ind w:firstLine="640" w:firstLineChars="0"/>
        <w:rPr>
          <w:rFonts w:hint="eastAsia"/>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eastAsia="zh-CN"/>
        </w:rPr>
        <w:t>加强主动告知。</w:t>
      </w:r>
      <w:r>
        <w:rPr>
          <w:rFonts w:hint="eastAsia"/>
        </w:rPr>
        <w:t>对符合条件的大龄领金人员，失业保险经办机构</w:t>
      </w:r>
      <w:r>
        <w:rPr>
          <w:rFonts w:hint="eastAsia"/>
          <w:lang w:eastAsia="zh-CN"/>
        </w:rPr>
        <w:t>（以下简称经办机构）</w:t>
      </w:r>
      <w:r>
        <w:rPr>
          <w:rFonts w:hint="eastAsia"/>
        </w:rPr>
        <w:t>要及时告知相关政策。</w:t>
      </w:r>
    </w:p>
    <w:p w14:paraId="02EA8938">
      <w:pPr>
        <w:pStyle w:val="16"/>
        <w:ind w:firstLine="640" w:firstLineChars="0"/>
      </w:pPr>
      <w:r>
        <w:rPr>
          <w:rFonts w:hint="eastAsia" w:eastAsia="黑体"/>
          <w:lang w:eastAsia="zh-CN"/>
        </w:rPr>
        <w:t>四、</w:t>
      </w:r>
      <w:r>
        <w:rPr>
          <w:rFonts w:hint="eastAsia" w:ascii="黑体" w:hAnsi="黑体" w:eastAsia="黑体" w:cs="黑体"/>
          <w:lang w:eastAsia="zh-CN"/>
        </w:rPr>
        <w:t>优化经办服务</w:t>
      </w:r>
      <w:r>
        <w:rPr>
          <w:rFonts w:hint="eastAsia" w:ascii="黑体" w:hAnsi="黑体" w:eastAsia="黑体" w:cs="黑体"/>
        </w:rPr>
        <w:t>。</w:t>
      </w:r>
      <w:r>
        <w:rPr>
          <w:rFonts w:hint="eastAsia" w:ascii="Times New Roman" w:hAnsi="Times New Roman" w:eastAsia="仿宋_GB2312" w:cs="Times New Roman"/>
          <w:lang w:eastAsia="zh-CN"/>
        </w:rPr>
        <w:t>经办机构</w:t>
      </w:r>
      <w:r>
        <w:rPr>
          <w:rFonts w:hint="eastAsia"/>
          <w:b w:val="0"/>
          <w:bCs w:val="0"/>
          <w:lang w:val="en-US" w:eastAsia="zh-CN"/>
        </w:rPr>
        <w:t>根据大龄领金人员身份证信息、档案记载信息（有档案信息的，以档案记载信息为准），</w:t>
      </w:r>
      <w:r>
        <w:rPr>
          <w:rFonts w:hint="eastAsia"/>
          <w:b w:val="0"/>
          <w:bCs w:val="0"/>
          <w:color w:val="auto"/>
          <w:lang w:val="en-US" w:eastAsia="zh-CN"/>
        </w:rPr>
        <w:t>按照</w:t>
      </w:r>
      <w:r>
        <w:rPr>
          <w:rFonts w:hint="eastAsia"/>
          <w:b w:val="0"/>
          <w:bCs w:val="0"/>
          <w:color w:val="auto"/>
        </w:rPr>
        <w:t>延迟法定退休年龄对照表</w:t>
      </w:r>
      <w:r>
        <w:rPr>
          <w:rFonts w:hint="eastAsia"/>
          <w:b w:val="0"/>
          <w:bCs w:val="0"/>
          <w:color w:val="auto"/>
          <w:lang w:eastAsia="zh-CN"/>
        </w:rPr>
        <w:t>，</w:t>
      </w:r>
      <w:r>
        <w:rPr>
          <w:rFonts w:hint="eastAsia"/>
          <w:b w:val="0"/>
          <w:bCs w:val="0"/>
          <w:color w:val="auto"/>
          <w:lang w:val="en-US" w:eastAsia="zh-CN"/>
        </w:rPr>
        <w:t>判定其是否在适用人员范围内。</w:t>
      </w:r>
      <w:r>
        <w:rPr>
          <w:rFonts w:hint="eastAsia"/>
          <w:color w:val="auto"/>
        </w:rPr>
        <w:t>符合条件人员</w:t>
      </w:r>
      <w:r>
        <w:rPr>
          <w:rFonts w:hint="eastAsia"/>
          <w:color w:val="auto"/>
          <w:lang w:eastAsia="zh-CN"/>
        </w:rPr>
        <w:t>自行参加企业职工基本养老保险并缴费，</w:t>
      </w:r>
      <w:r>
        <w:rPr>
          <w:rFonts w:hint="eastAsia"/>
          <w:color w:val="auto"/>
        </w:rPr>
        <w:t>达到法定退休年龄</w:t>
      </w:r>
      <w:r>
        <w:rPr>
          <w:rFonts w:hint="eastAsia"/>
          <w:color w:val="auto"/>
          <w:lang w:eastAsia="zh-CN"/>
        </w:rPr>
        <w:t>的次月起</w:t>
      </w:r>
      <w:r>
        <w:rPr>
          <w:rFonts w:hint="eastAsia"/>
          <w:color w:val="auto"/>
        </w:rPr>
        <w:t>，可通过网办系统或到失业保险金发放地经办</w:t>
      </w:r>
      <w:r>
        <w:rPr>
          <w:rFonts w:hint="eastAsia"/>
          <w:color w:val="auto"/>
          <w:lang w:eastAsia="zh-CN"/>
        </w:rPr>
        <w:t>机构</w:t>
      </w:r>
      <w:r>
        <w:rPr>
          <w:rFonts w:hint="eastAsia"/>
          <w:color w:val="auto"/>
        </w:rPr>
        <w:t>申请领取由失业保险基金承担的企业职工基本养老保险费</w:t>
      </w:r>
      <w:r>
        <w:rPr>
          <w:rFonts w:hint="eastAsia"/>
          <w:color w:val="auto"/>
          <w:lang w:eastAsia="zh-CN"/>
        </w:rPr>
        <w:t>。</w:t>
      </w:r>
      <w:r>
        <w:rPr>
          <w:rFonts w:hint="eastAsia"/>
        </w:rPr>
        <w:t>经办机构审核后一次性发放至本人社会保障卡银行账户。</w:t>
      </w:r>
    </w:p>
    <w:p w14:paraId="069996E1">
      <w:pPr>
        <w:pStyle w:val="16"/>
        <w:ind w:firstLine="640" w:firstLineChars="0"/>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、停</w:t>
      </w:r>
      <w:r>
        <w:rPr>
          <w:rFonts w:hint="eastAsia" w:ascii="黑体" w:hAnsi="黑体" w:eastAsia="黑体" w:cs="黑体"/>
          <w:lang w:eastAsia="zh-CN"/>
        </w:rPr>
        <w:t>发</w:t>
      </w:r>
      <w:r>
        <w:rPr>
          <w:rFonts w:hint="eastAsia" w:ascii="黑体" w:hAnsi="黑体" w:eastAsia="黑体" w:cs="黑体"/>
        </w:rPr>
        <w:t>情形。</w:t>
      </w:r>
      <w:r>
        <w:rPr>
          <w:rFonts w:hint="eastAsia"/>
        </w:rPr>
        <w:t>大龄领金人员达到法定退休年龄次月，或出现法定停止领取失业保险金情形的（含享受企业职工基本养老保险病残津贴），停止享受由失业保险基金缴纳企业职工基本养老保险费。</w:t>
      </w:r>
    </w:p>
    <w:p w14:paraId="7C485033">
      <w:pPr>
        <w:pStyle w:val="16"/>
        <w:ind w:firstLine="640" w:firstLineChars="0"/>
      </w:pPr>
      <w:r>
        <w:rPr>
          <w:rFonts w:hint="eastAsia" w:ascii="黑体" w:hAnsi="黑体" w:eastAsia="黑体" w:cs="黑体"/>
          <w:lang w:eastAsia="zh-CN"/>
        </w:rPr>
        <w:t>六</w:t>
      </w:r>
      <w:r>
        <w:rPr>
          <w:rFonts w:hint="eastAsia" w:ascii="黑体" w:hAnsi="黑体" w:eastAsia="黑体" w:cs="黑体"/>
        </w:rPr>
        <w:t>、强化风险防控。</w:t>
      </w:r>
      <w:r>
        <w:rPr>
          <w:rFonts w:hint="eastAsia" w:ascii="Times New Roman" w:hAnsi="Times New Roman" w:eastAsia="仿宋_GB2312" w:cs="Times New Roman"/>
          <w:lang w:eastAsia="zh-CN"/>
        </w:rPr>
        <w:t>各市</w:t>
      </w:r>
      <w:r>
        <w:rPr>
          <w:rFonts w:hint="eastAsia"/>
        </w:rPr>
        <w:t>要</w:t>
      </w:r>
      <w:r>
        <w:rPr>
          <w:rFonts w:hint="eastAsia"/>
          <w:lang w:eastAsia="zh-CN"/>
        </w:rPr>
        <w:t>密切关注失业保险基金运行情况，加强监测分析预警，做好资金测算，确保基金安全运行平稳可持续。要</w:t>
      </w:r>
      <w:r>
        <w:rPr>
          <w:rFonts w:hint="eastAsia"/>
        </w:rPr>
        <w:t>通过数据比对核查，加强苗头性、倾向性问题研判和防范，加强对短期参保骗领待遇、减员不离岗套保等情形的甄别，及时</w:t>
      </w:r>
      <w:r>
        <w:rPr>
          <w:rFonts w:hint="eastAsia"/>
          <w:lang w:eastAsia="zh-CN"/>
        </w:rPr>
        <w:t>提出</w:t>
      </w:r>
      <w:r>
        <w:rPr>
          <w:rFonts w:hint="eastAsia"/>
        </w:rPr>
        <w:t>调整完善风控规则</w:t>
      </w:r>
      <w:r>
        <w:rPr>
          <w:rFonts w:hint="eastAsia"/>
          <w:lang w:eastAsia="zh-CN"/>
        </w:rPr>
        <w:t>的</w:t>
      </w:r>
      <w:r>
        <w:rPr>
          <w:rFonts w:hint="eastAsia"/>
        </w:rPr>
        <w:t>建议，落实风控规则嵌入系统。对于存在欺诈风险的，要加强核查，严格审核，对冒领、骗领行为，依法追究责任。</w:t>
      </w:r>
    </w:p>
    <w:p w14:paraId="3BE4F87D">
      <w:pPr>
        <w:pStyle w:val="16"/>
        <w:ind w:firstLine="640" w:firstLineChars="0"/>
      </w:pPr>
      <w:r>
        <w:rPr>
          <w:rFonts w:hint="eastAsia" w:ascii="黑体" w:hAnsi="黑体" w:eastAsia="黑体" w:cs="黑体"/>
        </w:rPr>
        <w:t>七、工作要求。</w:t>
      </w:r>
      <w:r>
        <w:rPr>
          <w:rFonts w:hint="eastAsia"/>
        </w:rPr>
        <w:t>各</w:t>
      </w:r>
      <w:r>
        <w:rPr>
          <w:rFonts w:hint="eastAsia"/>
          <w:lang w:eastAsia="zh-CN"/>
        </w:rPr>
        <w:t>市</w:t>
      </w:r>
      <w:r>
        <w:rPr>
          <w:rFonts w:hint="eastAsia"/>
        </w:rPr>
        <w:t>人力资源社会保障、财政、税务部门要</w:t>
      </w:r>
      <w:r>
        <w:rPr>
          <w:rFonts w:hint="eastAsia"/>
          <w:lang w:eastAsia="zh-CN"/>
        </w:rPr>
        <w:t>高度重视，</w:t>
      </w:r>
      <w:r>
        <w:rPr>
          <w:rFonts w:hint="eastAsia"/>
        </w:rPr>
        <w:t>加强组织领导，强化部门协作配合，畅通信息共享渠道，发挥工作合力</w:t>
      </w:r>
      <w:r>
        <w:rPr>
          <w:rFonts w:hint="eastAsia"/>
          <w:lang w:eastAsia="zh-CN"/>
        </w:rPr>
        <w:t>。要</w:t>
      </w:r>
      <w:r>
        <w:rPr>
          <w:rFonts w:hint="eastAsia"/>
        </w:rPr>
        <w:t>加</w:t>
      </w:r>
      <w:r>
        <w:rPr>
          <w:rFonts w:hint="eastAsia"/>
          <w:lang w:eastAsia="zh-CN"/>
        </w:rPr>
        <w:t>大</w:t>
      </w:r>
      <w:r>
        <w:rPr>
          <w:rFonts w:hint="eastAsia"/>
        </w:rPr>
        <w:t>宣传</w:t>
      </w:r>
      <w:r>
        <w:rPr>
          <w:rFonts w:hint="eastAsia"/>
          <w:lang w:eastAsia="zh-CN"/>
        </w:rPr>
        <w:t>解读</w:t>
      </w:r>
      <w:r>
        <w:rPr>
          <w:rFonts w:hint="eastAsia"/>
        </w:rPr>
        <w:t>，开展业务培训，切实提升服务质效。政策实施过程中遇到的新情况、新问题要及时报告。</w:t>
      </w:r>
    </w:p>
    <w:p w14:paraId="703D1E70">
      <w:pPr>
        <w:pStyle w:val="16"/>
        <w:numPr>
          <w:ilvl w:val="-1"/>
          <w:numId w:val="0"/>
        </w:numPr>
        <w:ind w:firstLine="632" w:firstLineChars="200"/>
        <w:rPr>
          <w:rFonts w:hint="eastAsia" w:ascii="仿宋_GB2312" w:hAnsi="仿宋_GB2312" w:eastAsia="仿宋_GB2312" w:cs="仿宋_GB2312"/>
        </w:rPr>
      </w:pPr>
      <w:r>
        <w:rPr>
          <w:rFonts w:hint="eastAsia" w:ascii="仿宋_GB2312" w:hAnsi="仿宋_GB2312" w:cs="仿宋_GB2312"/>
          <w:lang w:val="en-US" w:eastAsia="zh-CN"/>
        </w:rPr>
        <w:t>本通知自</w:t>
      </w:r>
      <w:r>
        <w:rPr>
          <w:rFonts w:hint="eastAsia" w:ascii="仿宋_GB2312" w:hAnsi="仿宋_GB2312" w:eastAsia="仿宋_GB2312" w:cs="仿宋_GB2312"/>
        </w:rPr>
        <w:t>2025年1月1日</w:t>
      </w:r>
      <w:r>
        <w:rPr>
          <w:rFonts w:hint="eastAsia" w:ascii="仿宋_GB2312" w:hAnsi="仿宋_GB2312" w:cs="仿宋_GB2312"/>
          <w:lang w:val="en-US" w:eastAsia="zh-CN"/>
        </w:rPr>
        <w:t>起开始施行，执行</w:t>
      </w:r>
      <w:r>
        <w:rPr>
          <w:rFonts w:hint="eastAsia" w:ascii="仿宋_GB2312" w:hAnsi="仿宋_GB2312" w:eastAsia="仿宋_GB2312" w:cs="仿宋_GB2312"/>
        </w:rPr>
        <w:t>至2039年12月31日。</w:t>
      </w:r>
    </w:p>
    <w:p w14:paraId="2E6EC852">
      <w:pPr>
        <w:pStyle w:val="16"/>
        <w:ind w:firstLine="640" w:firstLineChars="0"/>
      </w:pPr>
    </w:p>
    <w:p w14:paraId="6BFD8E88">
      <w:pPr>
        <w:pStyle w:val="16"/>
      </w:pPr>
    </w:p>
    <w:tbl>
      <w:tblPr>
        <w:tblStyle w:val="13"/>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14:paraId="6A85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vAlign w:val="center"/>
          </w:tcPr>
          <w:p w14:paraId="5D5E4E9D">
            <w:pPr>
              <w:pStyle w:val="16"/>
              <w:ind w:left="0" w:leftChars="0" w:firstLine="0" w:firstLineChars="0"/>
              <w:jc w:val="center"/>
              <w:rPr>
                <w:vertAlign w:val="baseline"/>
              </w:rPr>
            </w:pPr>
            <w:r>
              <w:rPr>
                <w:rFonts w:hint="eastAsia" w:ascii="仿宋_GB2312" w:hAnsi="仿宋" w:eastAsia="仿宋_GB2312" w:cs="仿宋"/>
                <w:sz w:val="32"/>
                <w:szCs w:val="32"/>
              </w:rPr>
              <w:t>山东省人力资源</w:t>
            </w:r>
            <w:r>
              <w:rPr>
                <w:rFonts w:ascii="仿宋_GB2312" w:hAnsi="仿宋" w:eastAsia="仿宋_GB2312" w:cs="仿宋"/>
                <w:sz w:val="32"/>
                <w:szCs w:val="32"/>
              </w:rPr>
              <w:t>和</w:t>
            </w:r>
            <w:r>
              <w:rPr>
                <w:rFonts w:hint="eastAsia" w:ascii="仿宋_GB2312" w:hAnsi="仿宋" w:eastAsia="仿宋_GB2312" w:cs="仿宋"/>
                <w:sz w:val="32"/>
                <w:szCs w:val="32"/>
              </w:rPr>
              <w:t>社会保障厅</w:t>
            </w:r>
          </w:p>
        </w:tc>
        <w:tc>
          <w:tcPr>
            <w:tcW w:w="4530" w:type="dxa"/>
            <w:tcBorders>
              <w:tl2br w:val="nil"/>
              <w:tr2bl w:val="nil"/>
            </w:tcBorders>
            <w:vAlign w:val="center"/>
          </w:tcPr>
          <w:p w14:paraId="2407EDA6">
            <w:pPr>
              <w:pStyle w:val="16"/>
              <w:ind w:left="0" w:leftChars="0" w:firstLine="0" w:firstLineChars="0"/>
              <w:jc w:val="center"/>
              <w:rPr>
                <w:vertAlign w:val="baseline"/>
              </w:rPr>
            </w:pPr>
            <w:r>
              <w:rPr>
                <w:rFonts w:hint="eastAsia" w:ascii="仿宋_GB2312" w:hAnsi="仿宋" w:eastAsia="仿宋_GB2312" w:cs="仿宋"/>
                <w:sz w:val="32"/>
                <w:szCs w:val="32"/>
              </w:rPr>
              <w:t>山东省财政厅</w:t>
            </w:r>
          </w:p>
        </w:tc>
      </w:tr>
    </w:tbl>
    <w:p w14:paraId="534606A5">
      <w:pPr>
        <w:pStyle w:val="16"/>
        <w:ind w:left="0" w:leftChars="0" w:firstLine="0" w:firstLineChars="0"/>
      </w:pPr>
    </w:p>
    <w:tbl>
      <w:tblPr>
        <w:tblStyle w:val="13"/>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14:paraId="3D7B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vAlign w:val="center"/>
          </w:tcPr>
          <w:p w14:paraId="7D6BC742">
            <w:pPr>
              <w:pStyle w:val="16"/>
              <w:ind w:left="0" w:leftChars="0" w:firstLine="0" w:firstLineChars="0"/>
              <w:jc w:val="center"/>
              <w:rPr>
                <w:vertAlign w:val="baseline"/>
              </w:rPr>
            </w:pPr>
            <w:r>
              <w:rPr>
                <w:rFonts w:ascii="仿宋_GB2312" w:hAnsi="仿宋" w:eastAsia="仿宋_GB2312" w:cs="仿宋"/>
                <w:sz w:val="32"/>
                <w:szCs w:val="32"/>
              </w:rPr>
              <w:t>国家税务总局山东</w:t>
            </w:r>
            <w:r>
              <w:rPr>
                <w:rFonts w:hint="eastAsia" w:ascii="仿宋_GB2312" w:hAnsi="仿宋" w:eastAsia="仿宋_GB2312" w:cs="仿宋"/>
                <w:sz w:val="32"/>
                <w:szCs w:val="32"/>
              </w:rPr>
              <w:t>省税务局</w:t>
            </w:r>
          </w:p>
        </w:tc>
        <w:tc>
          <w:tcPr>
            <w:tcW w:w="4530" w:type="dxa"/>
            <w:tcBorders>
              <w:tl2br w:val="nil"/>
              <w:tr2bl w:val="nil"/>
            </w:tcBorders>
            <w:vAlign w:val="center"/>
          </w:tcPr>
          <w:p w14:paraId="7CBA00F1">
            <w:pPr>
              <w:pStyle w:val="16"/>
              <w:ind w:left="0" w:leftChars="0" w:firstLine="0" w:firstLineChars="0"/>
              <w:jc w:val="center"/>
              <w:rPr>
                <w:vertAlign w:val="baseline"/>
              </w:rPr>
            </w:pPr>
            <w:r>
              <w:rPr>
                <w:rFonts w:hint="eastAsia" w:ascii="仿宋_GB2312" w:hAnsi="Times New Roman" w:eastAsia="仿宋_GB2312" w:cs="仿宋_GB2312"/>
                <w:sz w:val="32"/>
                <w:szCs w:val="32"/>
              </w:rPr>
              <w:t>国家税务总局青岛市税务局</w:t>
            </w:r>
          </w:p>
        </w:tc>
      </w:tr>
    </w:tbl>
    <w:p w14:paraId="14FEBEE3">
      <w:pPr>
        <w:spacing w:line="580" w:lineRule="exact"/>
        <w:rPr>
          <w:rFonts w:ascii="仿宋_GB2312" w:hAnsi="仿宋_GB2312" w:eastAsia="仿宋_GB2312" w:cs="仿宋_GB2312"/>
          <w:spacing w:val="5"/>
          <w:sz w:val="32"/>
          <w:szCs w:val="32"/>
          <w:shd w:val="clear" w:color="auto" w:fill="FFFFFF"/>
        </w:rPr>
      </w:pPr>
      <w:r>
        <w:rPr>
          <w:rFonts w:hint="eastAsia" w:ascii="仿宋_GB2312" w:hAnsi="仿宋_GB2312" w:eastAsia="仿宋_GB2312" w:cs="仿宋_GB2312"/>
          <w:spacing w:val="5"/>
          <w:sz w:val="32"/>
          <w:szCs w:val="32"/>
          <w:shd w:val="clear" w:color="auto" w:fill="FFFFFF"/>
          <w:lang w:val="en-US" w:eastAsia="zh-CN"/>
        </w:rPr>
        <w:t xml:space="preserve">                                </w:t>
      </w:r>
      <w:r>
        <w:rPr>
          <w:rFonts w:hint="eastAsia" w:ascii="仿宋_GB2312" w:hAnsi="仿宋_GB2312" w:eastAsia="仿宋_GB2312" w:cs="仿宋_GB2312"/>
          <w:spacing w:val="5"/>
          <w:sz w:val="32"/>
          <w:szCs w:val="32"/>
          <w:shd w:val="clear" w:color="auto" w:fill="FFFFFF"/>
        </w:rPr>
        <w:t>2024年12月</w:t>
      </w:r>
      <w:r>
        <w:rPr>
          <w:rFonts w:hint="eastAsia" w:ascii="仿宋_GB2312" w:hAnsi="仿宋_GB2312" w:eastAsia="仿宋_GB2312" w:cs="仿宋_GB2312"/>
          <w:spacing w:val="5"/>
          <w:sz w:val="32"/>
          <w:szCs w:val="32"/>
          <w:shd w:val="clear" w:color="auto" w:fill="FFFFFF"/>
          <w:lang w:val="en-US" w:eastAsia="zh-CN"/>
        </w:rPr>
        <w:t>28</w:t>
      </w:r>
      <w:r>
        <w:rPr>
          <w:rFonts w:hint="eastAsia" w:ascii="仿宋_GB2312" w:hAnsi="仿宋_GB2312" w:eastAsia="仿宋_GB2312" w:cs="仿宋_GB2312"/>
          <w:spacing w:val="5"/>
          <w:sz w:val="32"/>
          <w:szCs w:val="32"/>
          <w:shd w:val="clear" w:color="auto" w:fill="FFFFFF"/>
        </w:rPr>
        <w:t xml:space="preserve">日  </w:t>
      </w:r>
      <w:r>
        <w:rPr>
          <w:rFonts w:hint="eastAsia" w:ascii="仿宋_GB2312" w:hAnsi="仿宋_GB2312" w:eastAsia="仿宋_GB2312" w:cs="仿宋_GB2312"/>
          <w:spacing w:val="5"/>
          <w:sz w:val="32"/>
          <w:szCs w:val="32"/>
          <w:shd w:val="clear" w:color="auto" w:fill="FFFFFF"/>
          <w:lang w:val="en-US" w:eastAsia="zh-CN"/>
        </w:rPr>
        <w:t xml:space="preserve"> </w:t>
      </w:r>
      <w:r>
        <w:rPr>
          <w:rFonts w:hint="eastAsia" w:ascii="仿宋_GB2312" w:hAnsi="仿宋_GB2312" w:eastAsia="仿宋_GB2312" w:cs="仿宋_GB2312"/>
          <w:spacing w:val="5"/>
          <w:sz w:val="32"/>
          <w:szCs w:val="32"/>
          <w:shd w:val="clear" w:color="auto" w:fill="FFFFFF"/>
        </w:rPr>
        <w:t xml:space="preserve">  </w:t>
      </w:r>
    </w:p>
    <w:p w14:paraId="701FD71C">
      <w:pPr>
        <w:spacing w:line="580" w:lineRule="exact"/>
        <w:ind w:firstLine="652" w:firstLineChars="200"/>
        <w:rPr>
          <w:rFonts w:ascii="仿宋_GB2312" w:hAnsi="仿宋_GB2312" w:eastAsia="仿宋_GB2312" w:cs="仿宋_GB2312"/>
          <w:spacing w:val="5"/>
          <w:sz w:val="32"/>
          <w:szCs w:val="32"/>
          <w:shd w:val="clear" w:color="auto" w:fill="FFFFFF"/>
        </w:rPr>
      </w:pPr>
      <w:r>
        <w:rPr>
          <w:rFonts w:hint="eastAsia" w:ascii="仿宋_GB2312" w:hAnsi="仿宋_GB2312" w:eastAsia="仿宋_GB2312" w:cs="仿宋_GB2312"/>
          <w:spacing w:val="5"/>
          <w:sz w:val="32"/>
          <w:szCs w:val="32"/>
          <w:shd w:val="clear" w:color="auto" w:fill="FFFFFF"/>
        </w:rPr>
        <w:t>（此件</w:t>
      </w:r>
      <w:r>
        <w:rPr>
          <w:rFonts w:ascii="仿宋_GB2312" w:hAnsi="仿宋_GB2312" w:eastAsia="仿宋_GB2312" w:cs="仿宋_GB2312"/>
          <w:spacing w:val="5"/>
          <w:sz w:val="32"/>
          <w:szCs w:val="32"/>
          <w:shd w:val="clear" w:color="auto" w:fill="FFFFFF"/>
        </w:rPr>
        <w:t>主动</w:t>
      </w:r>
      <w:r>
        <w:rPr>
          <w:rFonts w:hint="eastAsia" w:ascii="仿宋_GB2312" w:hAnsi="仿宋_GB2312" w:eastAsia="仿宋_GB2312" w:cs="仿宋_GB2312"/>
          <w:spacing w:val="5"/>
          <w:sz w:val="32"/>
          <w:szCs w:val="32"/>
          <w:shd w:val="clear" w:color="auto" w:fill="FFFFFF"/>
        </w:rPr>
        <w:t>公开）</w:t>
      </w:r>
    </w:p>
    <w:p w14:paraId="52F9291B">
      <w:pPr>
        <w:spacing w:line="580" w:lineRule="exact"/>
        <w:ind w:firstLine="652" w:firstLineChars="200"/>
        <w:rPr>
          <w:rFonts w:ascii="仿宋_GB2312" w:hAnsi="仿宋_GB2312" w:eastAsia="仿宋_GB2312" w:cs="仿宋_GB2312"/>
          <w:spacing w:val="5"/>
          <w:sz w:val="32"/>
          <w:szCs w:val="32"/>
          <w:shd w:val="clear" w:color="auto" w:fill="FFFFFF"/>
        </w:rPr>
      </w:pPr>
      <w:r>
        <w:rPr>
          <w:rFonts w:hint="eastAsia" w:ascii="仿宋_GB2312" w:hAnsi="仿宋_GB2312" w:eastAsia="仿宋_GB2312" w:cs="仿宋_GB2312"/>
          <w:spacing w:val="5"/>
          <w:sz w:val="32"/>
          <w:szCs w:val="32"/>
          <w:shd w:val="clear" w:color="auto" w:fill="FFFFFF"/>
        </w:rPr>
        <w:t>（联系单位：省人力资源社会保障厅失业保险处）</w:t>
      </w:r>
    </w:p>
    <w:p w14:paraId="510065A4">
      <w:pPr>
        <w:pStyle w:val="16"/>
        <w:ind w:firstLine="640" w:firstLineChars="0"/>
      </w:pPr>
    </w:p>
    <w:sectPr>
      <w:footerReference r:id="rId3"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796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368CC">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368CC">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4"/>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66952"/>
    <w:rsid w:val="004E7AD4"/>
    <w:rsid w:val="027D5398"/>
    <w:rsid w:val="06BA153D"/>
    <w:rsid w:val="0D83458D"/>
    <w:rsid w:val="0E4825B5"/>
    <w:rsid w:val="15F1328C"/>
    <w:rsid w:val="183B7CFE"/>
    <w:rsid w:val="1EFB3CD3"/>
    <w:rsid w:val="240F5C97"/>
    <w:rsid w:val="26353224"/>
    <w:rsid w:val="32D66952"/>
    <w:rsid w:val="353E78FD"/>
    <w:rsid w:val="35BD1ACB"/>
    <w:rsid w:val="36646DDC"/>
    <w:rsid w:val="3B4C5928"/>
    <w:rsid w:val="425F280E"/>
    <w:rsid w:val="45570334"/>
    <w:rsid w:val="47440941"/>
    <w:rsid w:val="515D5638"/>
    <w:rsid w:val="54203180"/>
    <w:rsid w:val="547D2362"/>
    <w:rsid w:val="56F18E73"/>
    <w:rsid w:val="582753C1"/>
    <w:rsid w:val="59FF2991"/>
    <w:rsid w:val="5C2D2157"/>
    <w:rsid w:val="5D4A5376"/>
    <w:rsid w:val="5D9B1EA6"/>
    <w:rsid w:val="728D090A"/>
    <w:rsid w:val="758710A0"/>
    <w:rsid w:val="7C71213A"/>
    <w:rsid w:val="7D0D7C1D"/>
    <w:rsid w:val="7F4C7895"/>
    <w:rsid w:val="B6BDFE41"/>
    <w:rsid w:val="F73FBC1B"/>
    <w:rsid w:val="FB8EA0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ascii="Calibri" w:hAnsi="Calibri" w:eastAsia="宋体"/>
    </w:rPr>
  </w:style>
  <w:style w:type="paragraph" w:styleId="3">
    <w:name w:val="Body Text"/>
    <w:basedOn w:val="1"/>
    <w:unhideWhenUsed/>
    <w:qFormat/>
    <w:uiPriority w:val="99"/>
  </w:style>
  <w:style w:type="paragraph" w:styleId="4">
    <w:name w:val="Normal Indent"/>
    <w:basedOn w:val="1"/>
    <w:qFormat/>
    <w:uiPriority w:val="0"/>
    <w:pPr>
      <w:ind w:firstLine="420" w:firstLineChars="200"/>
    </w:pPr>
    <w:rPr>
      <w:rFonts w:ascii="Times New Roman" w:hAnsi="Times New Roman"/>
    </w:rPr>
  </w:style>
  <w:style w:type="paragraph" w:styleId="5">
    <w:name w:val="Body Text Indent"/>
    <w:basedOn w:val="1"/>
    <w:next w:val="6"/>
    <w:uiPriority w:val="0"/>
    <w:pPr>
      <w:spacing w:after="120"/>
      <w:ind w:left="420" w:leftChars="200"/>
    </w:pPr>
  </w:style>
  <w:style w:type="paragraph" w:customStyle="1" w:styleId="6">
    <w:name w:val="_Style 5"/>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1">
    <w:name w:val="Body Text First Indent 2"/>
    <w:basedOn w:val="5"/>
    <w:next w:val="1"/>
    <w:uiPriority w:val="0"/>
    <w:pPr>
      <w:widowControl w:val="0"/>
      <w:spacing w:line="560" w:lineRule="exact"/>
      <w:ind w:firstLine="420" w:firstLineChars="200"/>
      <w:jc w:val="both"/>
    </w:pPr>
    <w:rPr>
      <w:rFonts w:ascii="Times New Roman" w:hAnsi="Times New Roman" w:eastAsia="Times New Roman" w:cs="Times New Roman"/>
      <w:sz w:val="21"/>
      <w:szCs w:val="22"/>
      <w:lang w:val="en-US" w:eastAsia="zh-CN" w:bidi="ar-SA"/>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标题用这个！"/>
    <w:basedOn w:val="10"/>
    <w:next w:val="16"/>
    <w:qFormat/>
    <w:uiPriority w:val="0"/>
    <w:pPr>
      <w:spacing w:before="0" w:after="0" w:line="600" w:lineRule="exact"/>
    </w:pPr>
    <w:rPr>
      <w:rFonts w:ascii="方正小标宋简体" w:hAnsi="方正小标宋简体" w:eastAsia="方正小标宋简体" w:cs="方正小标宋简体"/>
      <w:b w:val="0"/>
      <w:sz w:val="44"/>
      <w:szCs w:val="44"/>
    </w:rPr>
  </w:style>
  <w:style w:type="paragraph" w:customStyle="1" w:styleId="16">
    <w:name w:val="正文用这个"/>
    <w:basedOn w:val="1"/>
    <w:qFormat/>
    <w:uiPriority w:val="0"/>
    <w:pPr>
      <w:spacing w:line="580" w:lineRule="exact"/>
      <w:ind w:firstLine="20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1171</Words>
  <Characters>1193</Characters>
  <Lines>0</Lines>
  <Paragraphs>0</Paragraphs>
  <TotalTime>19</TotalTime>
  <ScaleCrop>false</ScaleCrop>
  <LinksUpToDate>false</LinksUpToDate>
  <CharactersWithSpaces>1230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2024-12-04T09:31:00Z</dcterms:created>
  <dc:creator>赵建旭</dc:creator>
  <cp:lastModifiedBy>婁超羣</cp:lastModifiedBy>
  <cp:lastPrinted>2024-12-31T07:34:00Z</cp:lastPrinted>
  <dcterms:modified xsi:type="dcterms:W3CDTF">2025-01-03T08:08:26Z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358F61F11A1D4A06A75E4A49A1295FEA_12</vt:lpwstr>
  </property>
  <property fmtid="{D5CDD505-2E9C-101B-9397-08002B2CF9AE}" pid="4" name="KSOTemplateDocerSaveRecord">
    <vt:lpwstr>eyJoZGlkIjoiNWM2NWQ4Yzc2ODRmMjkxNjA5MzQ4NTVjMjAzNDYwMTQiLCJ1c2VySWQiOiI0MTQwNjcxMDIifQ==</vt:lpwstr>
  </property>
</Properties>
</file>