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社会保险基金监督举报事项记录单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单位：                                            编号：年份—序号</w:t>
      </w:r>
    </w:p>
    <w:tbl>
      <w:tblPr>
        <w:tblStyle w:val="4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85"/>
        <w:gridCol w:w="795"/>
        <w:gridCol w:w="1234"/>
        <w:gridCol w:w="254"/>
        <w:gridCol w:w="1272"/>
        <w:gridCol w:w="281"/>
        <w:gridCol w:w="59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接收时间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月 日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举报形式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传真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来信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是否实名举报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家庭住址/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被举报人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身份证号码/统一社会信用代码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家庭住址/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（详细材料可附后）</w:t>
            </w:r>
          </w:p>
        </w:tc>
        <w:tc>
          <w:tcPr>
            <w:tcW w:w="661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证据材料：1.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审查情况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处理建议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□受理  □不予受理  □转办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□移送其他部门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□其他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经办人：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基金监督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机构主要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记录人签名</w:t>
            </w:r>
          </w:p>
        </w:tc>
        <w:tc>
          <w:tcPr>
            <w:tcW w:w="31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是否需要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回避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</w:tbl>
    <w:p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社会保险基金监督举报转办函</w:t>
      </w:r>
    </w:p>
    <w:p>
      <w:pPr>
        <w:rPr>
          <w:rFonts w:hint="default" w:ascii="Times New Roman" w:hAnsi="Times New Roman" w:eastAsia="仿宋"/>
          <w:b/>
          <w:color w:val="auto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仿宋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/>
          <w:b/>
          <w:color w:val="auto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Times New Roman" w:hAnsi="Times New Roman" w:eastAsia="仿宋"/>
          <w:b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ind w:firstLine="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湖北省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社会保险基金监督举报工作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管理实施细则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（试行）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》规定，现将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日提出的关于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举报事项转至你单位，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在收到此函后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个工作日内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举报人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尽快予以调查处理，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60个工作日内将结果报告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ind w:firstLine="6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联系人：    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>
      <w:pPr>
        <w:ind w:left="1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附：举报材料（复印件）共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页。</w:t>
      </w:r>
    </w:p>
    <w:p>
      <w:pPr>
        <w:ind w:left="105" w:leftChars="5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left="105" w:leftChars="50"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left="105" w:leftChars="50"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left="105" w:leftChars="50"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left="105" w:leftChars="50"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>
      <w:pPr>
        <w:wordWrap w:val="0"/>
        <w:ind w:firstLine="2100" w:firstLineChars="700"/>
        <w:jc w:val="right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人力资源和社会保障部门（印章）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</w:t>
      </w:r>
    </w:p>
    <w:p>
      <w:pPr>
        <w:ind w:firstLine="4050" w:firstLineChars="135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年   月   日</w:t>
      </w:r>
    </w:p>
    <w:p>
      <w:pPr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社会保险基金监督举报事项办理单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单位：    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189"/>
        <w:gridCol w:w="2195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举报事项：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记录单编号：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受理时间：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办理人：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办理情况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（可另附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详细情况）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一、基本情况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二、违法违规事实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三、处理依据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办理意见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□行政立案     □监督检查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基金监督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机构意见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主要负责人签名：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社会保险基金监督举报事项办结审批单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单位：                            日期：</w:t>
      </w:r>
    </w:p>
    <w:tbl>
      <w:tblPr>
        <w:tblStyle w:val="4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85"/>
        <w:gridCol w:w="795"/>
        <w:gridCol w:w="1234"/>
        <w:gridCol w:w="1515"/>
        <w:gridCol w:w="88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接收时间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月 日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举报形式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传真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  <w:t>来信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eastAsia="zh-CN"/>
              </w:rPr>
              <w:t>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是否实名举报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举报人基本情况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家庭住址/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被举报人基本情况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身份证号码/统一社会信用代码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家庭住址/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举报事项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摘要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受理情况</w:t>
            </w:r>
          </w:p>
        </w:tc>
        <w:tc>
          <w:tcPr>
            <w:tcW w:w="6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日受理，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进行初步调查，提出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处理意见。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办理情况</w:t>
            </w:r>
          </w:p>
        </w:tc>
        <w:tc>
          <w:tcPr>
            <w:tcW w:w="6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□有问题，依法作出行政处理、行政处罚决定。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□有问题，依法应当由其他部门、机构处理。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□有问题，向有关部门、机构提出处理建议。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□无问题，经办理未发现欺诈骗取、套取或者挪用贪占社会保险基金情形的。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 其他依法应当予以办结的情形。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基金监督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机构负责人意见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分管负责人意见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vertAlign w:val="baseline"/>
          <w:lang w:val="en-US" w:eastAsia="zh-CN"/>
        </w:rPr>
        <w:t>填表说明：请一并附上《社会保险基金监督举报事项记录单》及调查报告。</w:t>
      </w: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社会保险基金监督举报事项中止调查审批单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单位：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vertAlign w:val="baseline"/>
          <w:lang w:val="en-US" w:eastAsia="zh-CN"/>
        </w:rPr>
        <w:t>记录人：</w:t>
      </w:r>
    </w:p>
    <w:tbl>
      <w:tblPr>
        <w:tblStyle w:val="4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85"/>
        <w:gridCol w:w="795"/>
        <w:gridCol w:w="1234"/>
        <w:gridCol w:w="1510"/>
        <w:gridCol w:w="89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接收时间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月 日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举报形式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传真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来信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是否实名举报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举报人基本情况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家庭住址/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被举报人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身份证号码/统一社会信用代码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家庭住址/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举报事项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摘要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受理情况</w:t>
            </w:r>
          </w:p>
        </w:tc>
        <w:tc>
          <w:tcPr>
            <w:tcW w:w="6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日受理（或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日受理，并作行政立案调查处理）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中止办理的情况</w:t>
            </w:r>
          </w:p>
        </w:tc>
        <w:tc>
          <w:tcPr>
            <w:tcW w:w="6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举报涉及法律、法规、规章或者政策适用问题，需要有权机关作出解释或者确认的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因被举报人或者有关人员下落不明等，无法继续办理的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因被举报的机构、单位终止，尚未确定权利义务承受人，无法继续办理的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因自然灾害等不可抗力原因，无法继续办理的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因案情重大、疑难复杂或者危害后果特别严重，确需提请上级主管部门研究决定的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其他依法应当中止办理的情形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基金监督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机构负责人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分管负责人意见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vertAlign w:val="baseline"/>
          <w:lang w:val="en-US" w:eastAsia="zh-CN"/>
        </w:rPr>
        <w:t>填表说明：请一并附上《社会保险基金监督举报事项记录单》及调查报告。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sectPr>
          <w:footerReference r:id="rId3" w:type="default"/>
          <w:pgSz w:w="11906" w:h="16838"/>
          <w:pgMar w:top="2154" w:right="1701" w:bottom="1814" w:left="170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8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社会保险基金监督举报情况统计表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市（县）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</w:t>
      </w:r>
      <w:bookmarkStart w:id="0" w:name="_GoBack"/>
      <w:bookmarkEnd w:id="0"/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填报单位（公章）：</w:t>
      </w:r>
    </w:p>
    <w:tbl>
      <w:tblPr>
        <w:tblStyle w:val="3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21"/>
        <w:gridCol w:w="920"/>
        <w:gridCol w:w="1228"/>
        <w:gridCol w:w="1380"/>
        <w:gridCol w:w="2301"/>
        <w:gridCol w:w="2302"/>
        <w:gridCol w:w="1074"/>
        <w:gridCol w:w="1687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3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受理时间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受理方式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举报人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被举报</w:t>
            </w:r>
          </w:p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对象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举报事项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办理情况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办结</w:t>
            </w:r>
          </w:p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追回基金</w:t>
            </w:r>
          </w:p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3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3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3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3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填表人：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     基金监督机构负责人：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    填表时间：   年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月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7193"/>
    <w:rsid w:val="1F19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2024-08-12T08:04:00Z</dcterms:created>
  <dc:creator>Administrator</dc:creator>
  <cp:lastModifiedBy>Administrator</cp:lastModifiedBy>
  <dcterms:modified xsi:type="dcterms:W3CDTF">2024-08-12T08:05:18Z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711F21DC93714C47892C659339CFA4A5</vt:lpwstr>
  </property>
</Properties>
</file>