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bookmarkStart w:id="1" w:name="_GoBack"/>
      <w:bookmarkStart w:id="0" w:name="OLE_LINK1"/>
      <w:r>
        <w:rPr>
          <w:rFonts w:hint="eastAsia" w:ascii="方正小标宋简体" w:hAnsi="方正小标宋简体" w:eastAsia="方正小标宋简体" w:cs="方正小标宋简体"/>
          <w:b w:val="0"/>
          <w:bCs w:val="0"/>
          <w:color w:val="000000"/>
          <w:kern w:val="0"/>
          <w:sz w:val="44"/>
          <w:szCs w:val="44"/>
          <w:lang w:val="en-US" w:eastAsia="zh-CN" w:bidi="ar"/>
        </w:rPr>
        <w:t>省医疗保障局办公室 省财政厅办公室</w:t>
      </w:r>
      <w:bookmarkEnd w:id="1"/>
      <w:r>
        <w:rPr>
          <w:rFonts w:hint="eastAsia" w:ascii="方正小标宋简体" w:hAnsi="方正小标宋简体" w:eastAsia="方正小标宋简体" w:cs="方正小标宋简体"/>
          <w:b w:val="0"/>
          <w:bCs w:val="0"/>
          <w:color w:val="000000"/>
          <w:kern w:val="0"/>
          <w:sz w:val="44"/>
          <w:szCs w:val="44"/>
          <w:lang w:val="en-US" w:eastAsia="zh-CN" w:bidi="ar"/>
        </w:rPr>
        <w:t>关于转发《国家医保局办公室 财政部办公厅</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关于稳妥有序扩大跨省直接结算门诊</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bCs/>
          <w:color w:val="000000"/>
          <w:kern w:val="0"/>
          <w:sz w:val="44"/>
          <w:szCs w:val="44"/>
          <w:lang w:val="en-US" w:eastAsia="zh-CN" w:bidi="ar"/>
        </w:rPr>
      </w:pPr>
      <w:r>
        <w:rPr>
          <w:rFonts w:hint="eastAsia" w:ascii="方正小标宋简体" w:hAnsi="方正小标宋简体" w:eastAsia="方正小标宋简体" w:cs="方正小标宋简体"/>
          <w:b w:val="0"/>
          <w:bCs w:val="0"/>
          <w:color w:val="000000"/>
          <w:kern w:val="0"/>
          <w:sz w:val="44"/>
          <w:szCs w:val="44"/>
          <w:lang w:val="en-US" w:eastAsia="zh-CN" w:bidi="ar"/>
        </w:rPr>
        <w:t>慢特病病种范围的通知》的通知</w:t>
      </w:r>
      <w:bookmarkEnd w:id="0"/>
    </w:p>
    <w:p>
      <w:pPr>
        <w:keepNext w:val="0"/>
        <w:keepLines w:val="0"/>
        <w:widowControl/>
        <w:suppressLineNumbers w:val="0"/>
        <w:jc w:val="center"/>
        <w:rPr>
          <w:rFonts w:hint="eastAsia" w:ascii="方正小标宋_GBK" w:hAnsi="方正小标宋_GBK" w:eastAsia="方正小标宋_GBK" w:cs="方正小标宋_GBK"/>
          <w:b/>
          <w:bCs/>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各市、州、直管市、神农架林区医疗保障局，财政局：</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现将《国家医保局办公室 财政部办公厅关于稳妥有序扩大跨省直接结算门诊慢特病病种范围的通知》转发给你们，并提出以下意见，请一并贯彻执行。</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一、加强组织领导。</w:t>
      </w:r>
      <w:r>
        <w:rPr>
          <w:rFonts w:hint="eastAsia" w:ascii="仿宋_GB2312" w:hAnsi="仿宋_GB2312" w:eastAsia="仿宋_GB2312" w:cs="仿宋_GB2312"/>
          <w:b w:val="0"/>
          <w:bCs w:val="0"/>
          <w:color w:val="000000"/>
          <w:kern w:val="0"/>
          <w:sz w:val="32"/>
          <w:szCs w:val="32"/>
          <w:lang w:val="en-US" w:eastAsia="zh-CN" w:bidi="ar"/>
        </w:rPr>
        <w:t>门诊慢特病跨省直接结算病种扩围是今年医疗保障领域推动</w:t>
      </w:r>
      <w:r>
        <w:rPr>
          <w:rFonts w:hint="default"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高效办成一件事</w:t>
      </w:r>
      <w:r>
        <w:rPr>
          <w:rFonts w:hint="default"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重点事项之一，各市州医保部门务必高度重视</w:t>
      </w:r>
      <w:r>
        <w:rPr>
          <w:rFonts w:hint="default"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坚持</w:t>
      </w:r>
      <w:r>
        <w:rPr>
          <w:rFonts w:hint="default"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一把手</w:t>
      </w:r>
      <w:r>
        <w:rPr>
          <w:rFonts w:hint="default"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亲自抓</w:t>
      </w:r>
      <w:r>
        <w:rPr>
          <w:rFonts w:hint="default"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层层分解，压实责任，将此项工作抓紧</w:t>
      </w:r>
      <w:r>
        <w:rPr>
          <w:rFonts w:hint="default"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抓实</w:t>
      </w:r>
      <w:r>
        <w:rPr>
          <w:rFonts w:hint="default"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抓细，不折不扣地完成扩围任务。</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二、注重系统协同。</w:t>
      </w:r>
      <w:r>
        <w:rPr>
          <w:rFonts w:hint="eastAsia" w:ascii="仿宋_GB2312" w:hAnsi="仿宋_GB2312" w:eastAsia="仿宋_GB2312" w:cs="仿宋_GB2312"/>
          <w:b w:val="0"/>
          <w:bCs w:val="0"/>
          <w:color w:val="000000"/>
          <w:kern w:val="0"/>
          <w:sz w:val="32"/>
          <w:szCs w:val="32"/>
          <w:lang w:val="en-US" w:eastAsia="zh-CN" w:bidi="ar"/>
        </w:rPr>
        <w:t>各市州医保部门要强化政策</w:t>
      </w:r>
      <w:r>
        <w:rPr>
          <w:rFonts w:hint="default"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管理和信息化工作协同，明确异地就医结算联络员，通过国家医保信息平台业务系统模块加强与其他统筹区工作配合，及时解决参保群众异地就医结算问题。</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三、做好宣传培训。</w:t>
      </w:r>
      <w:r>
        <w:rPr>
          <w:rFonts w:hint="eastAsia" w:ascii="仿宋_GB2312" w:hAnsi="仿宋_GB2312" w:eastAsia="仿宋_GB2312" w:cs="仿宋_GB2312"/>
          <w:b w:val="0"/>
          <w:bCs w:val="0"/>
          <w:color w:val="000000"/>
          <w:kern w:val="0"/>
          <w:sz w:val="32"/>
          <w:szCs w:val="32"/>
          <w:lang w:val="en-US" w:eastAsia="zh-CN" w:bidi="ar"/>
        </w:rPr>
        <w:t>各地医保部门要加强对定点医疗机构的宣传培训，全面解读门诊慢特病跨省直接结算政策</w:t>
      </w:r>
      <w:r>
        <w:rPr>
          <w:rFonts w:hint="default"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管理流程，指导跨省联网定点医疗机构做好院内系统改造和人员培训，利用网络</w:t>
      </w:r>
      <w:r>
        <w:rPr>
          <w:rFonts w:hint="default"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报刊</w:t>
      </w:r>
      <w:r>
        <w:rPr>
          <w:rFonts w:hint="default"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电视</w:t>
      </w:r>
      <w:r>
        <w:rPr>
          <w:rFonts w:hint="default"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广播等媒体，做好对外政策宣传解读</w:t>
      </w:r>
      <w:r>
        <w:rPr>
          <w:rFonts w:hint="default"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及时回应群众关切</w:t>
      </w:r>
      <w:r>
        <w:rPr>
          <w:rFonts w:hint="default" w:ascii="仿宋_GB2312" w:hAnsi="仿宋_GB2312" w:eastAsia="仿宋_GB2312" w:cs="仿宋_GB2312"/>
          <w:b w:val="0"/>
          <w:bCs w:val="0"/>
          <w:color w:val="000000"/>
          <w:kern w:val="0"/>
          <w:sz w:val="32"/>
          <w:szCs w:val="32"/>
          <w:lang w:val="en-US" w:eastAsia="zh-CN" w:bidi="ar"/>
        </w:rPr>
        <w:t>,</w:t>
      </w:r>
      <w:r>
        <w:rPr>
          <w:rFonts w:hint="eastAsia" w:ascii="仿宋_GB2312" w:hAnsi="仿宋_GB2312" w:eastAsia="仿宋_GB2312" w:cs="仿宋_GB2312"/>
          <w:b w:val="0"/>
          <w:bCs w:val="0"/>
          <w:color w:val="000000"/>
          <w:kern w:val="0"/>
          <w:sz w:val="32"/>
          <w:szCs w:val="32"/>
          <w:lang w:val="en-US" w:eastAsia="zh-CN" w:bidi="ar"/>
        </w:rPr>
        <w:t>合理引导社会预期。</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四、按时上传信息。</w:t>
      </w:r>
      <w:r>
        <w:rPr>
          <w:rFonts w:hint="eastAsia" w:ascii="仿宋_GB2312" w:hAnsi="仿宋_GB2312" w:eastAsia="仿宋_GB2312" w:cs="仿宋_GB2312"/>
          <w:b w:val="0"/>
          <w:bCs w:val="0"/>
          <w:color w:val="000000"/>
          <w:kern w:val="0"/>
          <w:sz w:val="32"/>
          <w:szCs w:val="32"/>
          <w:lang w:val="en-US" w:eastAsia="zh-CN" w:bidi="ar"/>
        </w:rPr>
        <w:t>各市州要于2024年11月5日前将《门诊慢特病跨省异地就医结算政策及流程告知书》通过国家跨省异地就医管理子系统业务协同模块上传，向省级医保部门提交异地就医结算联络员和拟开通新增门诊慢特病直接结算服务医疗机构名单，注明开通病种数量和具体病种名称。</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王遥 曹勇杰</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话：</w:t>
      </w:r>
      <w:r>
        <w:rPr>
          <w:rFonts w:hint="eastAsia" w:ascii="仿宋_GB2312" w:hAnsi="仿宋_GB2312" w:eastAsia="仿宋_GB2312" w:cs="仿宋_GB2312"/>
          <w:sz w:val="32"/>
          <w:szCs w:val="32"/>
          <w:lang w:val="en-US" w:eastAsia="zh-CN"/>
        </w:rPr>
        <w:t>027-87236948</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联系邮箱：</w:t>
      </w:r>
      <w:r>
        <w:rPr>
          <w:rFonts w:hint="eastAsia" w:ascii="仿宋_GB2312" w:hAnsi="仿宋_GB2312" w:eastAsia="仿宋_GB2312" w:cs="仿宋_GB2312"/>
          <w:color w:val="auto"/>
          <w:sz w:val="32"/>
          <w:szCs w:val="32"/>
          <w:u w:val="none"/>
          <w:lang w:val="en-US" w:eastAsia="zh-CN"/>
        </w:rPr>
        <w:t>hbybydjyk</w:t>
      </w:r>
      <w:r>
        <w:rPr>
          <w:rFonts w:hint="eastAsia" w:ascii="仿宋" w:hAnsi="仿宋" w:eastAsia="仿宋" w:cs="仿宋"/>
          <w:color w:val="auto"/>
          <w:sz w:val="32"/>
          <w:szCs w:val="32"/>
          <w:u w:val="none"/>
          <w:lang w:val="en-US" w:eastAsia="zh-CN"/>
        </w:rPr>
        <w:t>@</w:t>
      </w:r>
      <w:r>
        <w:rPr>
          <w:rFonts w:hint="eastAsia" w:ascii="仿宋_GB2312" w:hAnsi="仿宋_GB2312" w:eastAsia="仿宋_GB2312" w:cs="仿宋_GB2312"/>
          <w:color w:val="auto"/>
          <w:sz w:val="32"/>
          <w:szCs w:val="32"/>
          <w:u w:val="none"/>
          <w:lang w:val="en-US" w:eastAsia="zh-CN"/>
        </w:rPr>
        <w:t>163.com</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1598" w:leftChars="304" w:hanging="960" w:hangingChars="300"/>
        <w:jc w:val="both"/>
        <w:textAlignment w:val="auto"/>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附件：国家医保局办公室 财政部办公厅关于稳妥有序</w:t>
      </w:r>
      <w:r>
        <w:rPr>
          <w:rFonts w:hint="eastAsia" w:ascii="仿宋_GB2312" w:hAnsi="仿宋_GB2312" w:eastAsia="仿宋_GB2312" w:cs="仿宋_GB2312"/>
          <w:b w:val="0"/>
          <w:bCs w:val="0"/>
          <w:color w:val="000000"/>
          <w:kern w:val="0"/>
          <w:sz w:val="32"/>
          <w:szCs w:val="32"/>
          <w:lang w:val="en-US" w:eastAsia="zh-CN" w:bidi="ar"/>
        </w:rPr>
        <w:br w:type="textWrapping"/>
      </w:r>
      <w:r>
        <w:rPr>
          <w:rFonts w:hint="eastAsia" w:ascii="仿宋_GB2312" w:hAnsi="仿宋_GB2312" w:eastAsia="仿宋_GB2312" w:cs="仿宋_GB2312"/>
          <w:b w:val="0"/>
          <w:bCs w:val="0"/>
          <w:color w:val="000000"/>
          <w:kern w:val="0"/>
          <w:sz w:val="32"/>
          <w:szCs w:val="32"/>
          <w:lang w:val="en-US" w:eastAsia="zh-CN" w:bidi="ar"/>
        </w:rPr>
        <w:t>扩大跨省直接结算门诊慢特病病种范围的通知</w:t>
      </w:r>
    </w:p>
    <w:p>
      <w:pPr>
        <w:keepNext w:val="0"/>
        <w:keepLines w:val="0"/>
        <w:widowControl/>
        <w:suppressLineNumbers w:val="0"/>
        <w:ind w:firstLine="640" w:firstLineChars="200"/>
        <w:jc w:val="both"/>
        <w:rPr>
          <w:rFonts w:hint="eastAsia" w:ascii="仿宋_GB2312" w:hAnsi="仿宋_GB2312" w:eastAsia="仿宋_GB2312" w:cs="仿宋_GB2312"/>
          <w:b w:val="0"/>
          <w:bCs w:val="0"/>
          <w:color w:val="000000"/>
          <w:kern w:val="0"/>
          <w:sz w:val="32"/>
          <w:szCs w:val="32"/>
          <w:lang w:val="en-US" w:eastAsia="zh-CN" w:bidi="ar"/>
        </w:rPr>
      </w:pPr>
    </w:p>
    <w:p>
      <w:pPr>
        <w:keepNext w:val="0"/>
        <w:keepLines w:val="0"/>
        <w:widowControl/>
        <w:suppressLineNumbers w:val="0"/>
        <w:ind w:firstLine="640" w:firstLineChars="200"/>
        <w:jc w:val="both"/>
        <w:rPr>
          <w:rFonts w:hint="eastAsia" w:ascii="仿宋_GB2312" w:hAnsi="仿宋_GB2312" w:eastAsia="仿宋_GB2312" w:cs="仿宋_GB2312"/>
          <w:b w:val="0"/>
          <w:bCs w:val="0"/>
          <w:color w:val="000000"/>
          <w:kern w:val="0"/>
          <w:sz w:val="32"/>
          <w:szCs w:val="32"/>
          <w:lang w:val="en-US" w:eastAsia="zh-CN" w:bidi="ar"/>
        </w:rPr>
      </w:pPr>
    </w:p>
    <w:p>
      <w:pPr>
        <w:keepNext w:val="0"/>
        <w:keepLines w:val="0"/>
        <w:widowControl/>
        <w:suppressLineNumbers w:val="0"/>
        <w:ind w:firstLine="640" w:firstLineChars="200"/>
        <w:jc w:val="both"/>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湖北省医疗保障局办公室       湖北省财政厅办公室</w:t>
      </w:r>
    </w:p>
    <w:p>
      <w:pPr>
        <w:keepNext w:val="0"/>
        <w:keepLines w:val="0"/>
        <w:widowControl/>
        <w:suppressLineNumbers w:val="0"/>
        <w:ind w:firstLine="5440" w:firstLineChars="1700"/>
        <w:jc w:val="both"/>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2024年10月 日</w:t>
      </w:r>
    </w:p>
    <w:p>
      <w:pPr>
        <w:keepNext w:val="0"/>
        <w:keepLines w:val="0"/>
        <w:widowControl/>
        <w:suppressLineNumbers w:val="0"/>
        <w:ind w:firstLine="640" w:firstLineChars="200"/>
        <w:jc w:val="both"/>
        <w:rPr>
          <w:rFonts w:hint="eastAsia" w:ascii="仿宋_GB2312" w:hAnsi="仿宋_GB2312" w:eastAsia="仿宋_GB2312" w:cs="仿宋_GB2312"/>
          <w:b w:val="0"/>
          <w:bCs w:val="0"/>
          <w:color w:val="000000"/>
          <w:kern w:val="0"/>
          <w:sz w:val="32"/>
          <w:szCs w:val="32"/>
          <w:lang w:val="en-US" w:eastAsia="zh-CN" w:bidi="ar"/>
        </w:rPr>
      </w:pPr>
    </w:p>
    <w:p>
      <w:pPr>
        <w:keepNext w:val="0"/>
        <w:keepLines w:val="0"/>
        <w:widowControl/>
        <w:suppressLineNumbers w:val="0"/>
        <w:ind w:firstLine="640" w:firstLineChars="200"/>
        <w:jc w:val="both"/>
        <w:rPr>
          <w:rFonts w:hint="eastAsia" w:ascii="仿宋_GB2312" w:hAnsi="仿宋_GB2312" w:eastAsia="仿宋_GB2312" w:cs="仿宋_GB2312"/>
          <w:b w:val="0"/>
          <w:bCs w:val="0"/>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OWE1YzBjZmY0ZmU1MDkxM2MxYzE4NzlmMDQyYTYifQ=="/>
  </w:docVars>
  <w:rsids>
    <w:rsidRoot w:val="6F772A6B"/>
    <w:rsid w:val="255460F3"/>
    <w:rsid w:val="2EE34EFD"/>
    <w:rsid w:val="367C30F2"/>
    <w:rsid w:val="3AD114DD"/>
    <w:rsid w:val="46CB625B"/>
    <w:rsid w:val="51E732EF"/>
    <w:rsid w:val="60E961E6"/>
    <w:rsid w:val="6F772A6B"/>
    <w:rsid w:val="7D393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697</Words>
  <Characters>733</Characters>
  <Lines>0</Lines>
  <Paragraphs>0</Paragraphs>
  <TotalTime>141</TotalTime>
  <ScaleCrop>false</ScaleCrop>
  <LinksUpToDate>false</LinksUpToDate>
  <CharactersWithSpaces>747</CharactersWithSpaces>
  <Application>WPS Office_10.8.2.6642_F1E327BC-269C-435d-A152-05C5408002CA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2024-10-09T10:05:00Z</dcterms:created>
  <dc:creator>好玩</dc:creator>
  <cp:lastModifiedBy>閤成保</cp:lastModifiedBy>
  <dcterms:modified xsi:type="dcterms:W3CDTF">2024-10-28T09:08:56Z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2052-10.8.2.6642</vt:lpwstr>
  </property>
  <property fmtid="{D5CDD505-2E9C-101B-9397-08002B2CF9AE}" pid="3" name="ICV">
    <vt:lpwstr>8C76E56C821147D6B2BF8D58ABED6317_11</vt:lpwstr>
  </property>
</Properties>
</file>