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firstLine="471"/>
      </w:pPr>
    </w:p>
    <w:tbl>
      <w:tblPr>
        <w:tblStyle w:val="6"/>
        <w:tblW w:w="9270" w:type="dxa"/>
        <w:jc w:val="center"/>
        <w:tblLayout w:type="autofit"/>
        <w:tblCellMar>
          <w:top w:w="0" w:type="dxa"/>
          <w:left w:w="108" w:type="dxa"/>
          <w:bottom w:w="0" w:type="dxa"/>
          <w:right w:w="108" w:type="dxa"/>
        </w:tblCellMar>
      </w:tblPr>
      <w:tblGrid>
        <w:gridCol w:w="7144"/>
        <w:gridCol w:w="2126"/>
      </w:tblGrid>
      <w:tr>
        <w:tblPrEx>
          <w:tblCellMar>
            <w:top w:w="0" w:type="dxa"/>
            <w:left w:w="108" w:type="dxa"/>
            <w:bottom w:w="0" w:type="dxa"/>
            <w:right w:w="108" w:type="dxa"/>
          </w:tblCellMar>
        </w:tblPrEx>
        <w:trPr>
          <w:jc w:val="center"/>
        </w:trPr>
        <w:tc>
          <w:tcPr>
            <w:tcW w:w="7144" w:type="dxa"/>
            <w:vAlign w:val="center"/>
          </w:tcPr>
          <w:p>
            <w:pPr>
              <w:spacing w:line="1200" w:lineRule="exact"/>
              <w:ind w:firstLine="0"/>
              <w:jc w:val="distribute"/>
              <w:rPr>
                <w:rFonts w:eastAsia="方正小标宋简体"/>
                <w:color w:val="auto"/>
                <w:spacing w:val="-30"/>
                <w:w w:val="61"/>
                <w:sz w:val="96"/>
                <w:szCs w:val="96"/>
              </w:rPr>
            </w:pPr>
            <w:r>
              <w:rPr>
                <w:rFonts w:eastAsia="方正小标宋简体"/>
                <w:color w:val="auto"/>
                <w:spacing w:val="-30"/>
                <w:w w:val="61"/>
                <w:sz w:val="96"/>
                <w:szCs w:val="96"/>
              </w:rPr>
              <w:t>四川省人力资源和社会保障厅</w:t>
            </w:r>
          </w:p>
        </w:tc>
        <w:tc>
          <w:tcPr>
            <w:tcW w:w="2126" w:type="dxa"/>
            <w:vMerge w:val="restart"/>
            <w:vAlign w:val="center"/>
          </w:tcPr>
          <w:p>
            <w:pPr>
              <w:spacing w:line="1200" w:lineRule="exact"/>
              <w:ind w:firstLine="0"/>
              <w:jc w:val="center"/>
              <w:rPr>
                <w:rFonts w:eastAsia="方正小标宋简体"/>
                <w:color w:val="auto"/>
                <w:spacing w:val="-10"/>
                <w:w w:val="62"/>
                <w:sz w:val="102"/>
                <w:szCs w:val="102"/>
              </w:rPr>
            </w:pPr>
            <w:r>
              <w:rPr>
                <w:rFonts w:eastAsia="方正小标宋简体"/>
                <w:color w:val="auto"/>
                <w:spacing w:val="-10"/>
                <w:w w:val="90"/>
                <w:sz w:val="102"/>
                <w:szCs w:val="102"/>
              </w:rPr>
              <w:t>文件</w:t>
            </w:r>
          </w:p>
        </w:tc>
      </w:tr>
      <w:tr>
        <w:tblPrEx>
          <w:tblCellMar>
            <w:top w:w="0" w:type="dxa"/>
            <w:left w:w="108" w:type="dxa"/>
            <w:bottom w:w="0" w:type="dxa"/>
            <w:right w:w="108" w:type="dxa"/>
          </w:tblCellMar>
        </w:tblPrEx>
        <w:trPr>
          <w:jc w:val="center"/>
        </w:trPr>
        <w:tc>
          <w:tcPr>
            <w:tcW w:w="7144" w:type="dxa"/>
            <w:vAlign w:val="center"/>
          </w:tcPr>
          <w:p>
            <w:pPr>
              <w:spacing w:line="1200" w:lineRule="exact"/>
              <w:ind w:firstLine="0"/>
              <w:jc w:val="distribute"/>
              <w:rPr>
                <w:rFonts w:eastAsia="方正小标宋简体"/>
                <w:color w:val="auto"/>
                <w:w w:val="61"/>
                <w:sz w:val="96"/>
                <w:szCs w:val="96"/>
              </w:rPr>
            </w:pPr>
            <w:r>
              <w:rPr>
                <w:rFonts w:eastAsia="方正小标宋简体"/>
                <w:color w:val="auto"/>
                <w:spacing w:val="-20"/>
                <w:w w:val="61"/>
                <w:sz w:val="96"/>
                <w:szCs w:val="96"/>
              </w:rPr>
              <w:t>四川省财政厅</w:t>
            </w:r>
          </w:p>
        </w:tc>
        <w:tc>
          <w:tcPr>
            <w:tcW w:w="2126" w:type="dxa"/>
            <w:vMerge w:val="continue"/>
            <w:vAlign w:val="center"/>
          </w:tcPr>
          <w:p>
            <w:pPr>
              <w:spacing w:line="1200" w:lineRule="exact"/>
              <w:ind w:firstLine="0"/>
              <w:jc w:val="center"/>
              <w:rPr>
                <w:rFonts w:eastAsia="方正小标宋简体"/>
                <w:color w:val="auto"/>
                <w:w w:val="74"/>
                <w:sz w:val="96"/>
                <w:szCs w:val="96"/>
              </w:rPr>
            </w:pPr>
          </w:p>
        </w:tc>
      </w:tr>
    </w:tbl>
    <w:p>
      <w:pPr>
        <w:spacing w:line="700" w:lineRule="exact"/>
        <w:ind w:firstLine="471"/>
      </w:pPr>
    </w:p>
    <w:p>
      <w:pPr>
        <w:adjustRightInd w:val="0"/>
        <w:snapToGrid w:val="0"/>
        <w:spacing w:line="600" w:lineRule="exact"/>
        <w:ind w:firstLine="0"/>
        <w:jc w:val="center"/>
        <w:outlineLvl w:val="0"/>
        <w:rPr>
          <w:szCs w:val="32"/>
        </w:rPr>
      </w:pPr>
      <w:r>
        <w:rPr>
          <w:szCs w:val="32"/>
        </w:rPr>
        <w:t>川人社规〔2024〕11号</w:t>
      </w:r>
    </w:p>
    <w:p>
      <w:pPr>
        <w:spacing w:line="800" w:lineRule="exact"/>
        <w:ind w:left="102" w:right="102" w:firstLine="0"/>
      </w:pPr>
      <w:r>
        <w:pict>
          <v:line id="直接连接符 2" o:spid="_x0000_s2051" o:spt="20" style="position:absolute;left:0pt;margin-left:0pt;margin-top:1.2pt;height:0pt;width:442.2pt;z-index:251660288;mso-width-relative:page;mso-height-relative:page;" filled="f" stroked="t" coordsize="21600,21600">
            <v:path arrowok="t"/>
            <v:fill on="f" focussize="0,0"/>
            <v:stroke weight="2.25pt" color="#000000"/>
            <v:imagedata o:title=""/>
            <o:lock v:ext="edit" aspectratio="f"/>
          </v:line>
        </w:pict>
      </w:r>
    </w:p>
    <w:tbl>
      <w:tblPr>
        <w:tblStyle w:val="6"/>
        <w:tblW w:w="0" w:type="auto"/>
        <w:jc w:val="center"/>
        <w:tblLayout w:type="autofit"/>
        <w:tblCellMar>
          <w:top w:w="0" w:type="dxa"/>
          <w:left w:w="108" w:type="dxa"/>
          <w:bottom w:w="0" w:type="dxa"/>
          <w:right w:w="108" w:type="dxa"/>
        </w:tblCellMar>
      </w:tblPr>
      <w:tblGrid>
        <w:gridCol w:w="6062"/>
      </w:tblGrid>
      <w:tr>
        <w:tblPrEx>
          <w:tblCellMar>
            <w:top w:w="0" w:type="dxa"/>
            <w:left w:w="108" w:type="dxa"/>
            <w:bottom w:w="0" w:type="dxa"/>
            <w:right w:w="108" w:type="dxa"/>
          </w:tblCellMar>
        </w:tblPrEx>
        <w:trPr>
          <w:jc w:val="center"/>
        </w:trPr>
        <w:tc>
          <w:tcPr>
            <w:tcW w:w="6062" w:type="dxa"/>
            <w:shd w:val="clear" w:color="auto" w:fill="auto"/>
          </w:tcPr>
          <w:p>
            <w:pPr>
              <w:adjustRightInd w:val="0"/>
              <w:snapToGrid w:val="0"/>
              <w:spacing w:line="640" w:lineRule="exact"/>
              <w:ind w:firstLine="0"/>
              <w:jc w:val="distribute"/>
              <w:rPr>
                <w:rFonts w:eastAsia="方正小标宋简体"/>
                <w:bCs/>
                <w:color w:val="000000"/>
                <w:sz w:val="44"/>
                <w:szCs w:val="44"/>
              </w:rPr>
            </w:pPr>
            <w:r>
              <w:rPr>
                <w:rFonts w:eastAsia="方正小标宋简体"/>
                <w:bCs/>
                <w:color w:val="000000"/>
                <w:sz w:val="44"/>
                <w:szCs w:val="44"/>
              </w:rPr>
              <w:t>四川省人力资源和社会保障厅</w:t>
            </w:r>
          </w:p>
        </w:tc>
      </w:tr>
      <w:tr>
        <w:tblPrEx>
          <w:tblCellMar>
            <w:top w:w="0" w:type="dxa"/>
            <w:left w:w="108" w:type="dxa"/>
            <w:bottom w:w="0" w:type="dxa"/>
            <w:right w:w="108" w:type="dxa"/>
          </w:tblCellMar>
        </w:tblPrEx>
        <w:trPr>
          <w:jc w:val="center"/>
        </w:trPr>
        <w:tc>
          <w:tcPr>
            <w:tcW w:w="6062" w:type="dxa"/>
            <w:shd w:val="clear" w:color="auto" w:fill="auto"/>
          </w:tcPr>
          <w:p>
            <w:pPr>
              <w:adjustRightInd w:val="0"/>
              <w:snapToGrid w:val="0"/>
              <w:spacing w:line="640" w:lineRule="exact"/>
              <w:ind w:firstLine="0"/>
              <w:jc w:val="distribute"/>
              <w:rPr>
                <w:rFonts w:eastAsia="方正小标宋简体"/>
                <w:bCs/>
                <w:color w:val="000000"/>
                <w:sz w:val="44"/>
                <w:szCs w:val="44"/>
              </w:rPr>
            </w:pPr>
            <w:r>
              <w:rPr>
                <w:rFonts w:eastAsia="方正小标宋简体"/>
                <w:bCs/>
                <w:color w:val="000000"/>
                <w:sz w:val="44"/>
                <w:szCs w:val="44"/>
              </w:rPr>
              <w:t>四川省财政厅</w:t>
            </w:r>
          </w:p>
        </w:tc>
      </w:tr>
    </w:tbl>
    <w:p>
      <w:pPr>
        <w:adjustRightInd w:val="0"/>
        <w:snapToGrid w:val="0"/>
        <w:spacing w:line="640" w:lineRule="exact"/>
        <w:ind w:firstLine="0"/>
        <w:jc w:val="center"/>
        <w:rPr>
          <w:rFonts w:eastAsia="方正小标宋简体"/>
          <w:color w:val="000000"/>
          <w:sz w:val="44"/>
          <w:szCs w:val="44"/>
        </w:rPr>
      </w:pPr>
      <w:r>
        <w:rPr>
          <w:rFonts w:eastAsia="方正小标宋简体"/>
          <w:color w:val="000000"/>
          <w:sz w:val="44"/>
          <w:szCs w:val="44"/>
        </w:rPr>
        <w:t>关于2024年调整工伤人员相关待遇的通知</w:t>
      </w:r>
    </w:p>
    <w:p>
      <w:pPr>
        <w:adjustRightInd w:val="0"/>
        <w:snapToGrid w:val="0"/>
        <w:spacing w:line="600" w:lineRule="exact"/>
        <w:ind w:firstLine="0"/>
        <w:rPr>
          <w:rFonts w:eastAsia="楷体_GB2312"/>
          <w:bCs/>
          <w:color w:val="000000"/>
          <w:kern w:val="0"/>
          <w:szCs w:val="32"/>
        </w:rPr>
      </w:pPr>
      <w:r>
        <w:rPr>
          <w:rFonts w:eastAsia="楷体_GB2312"/>
          <w:bCs/>
          <w:color w:val="000000"/>
          <w:kern w:val="0"/>
          <w:szCs w:val="32"/>
        </w:rPr>
        <w:t xml:space="preserve"> </w:t>
      </w:r>
    </w:p>
    <w:p>
      <w:pPr>
        <w:tabs>
          <w:tab w:val="center" w:pos="4153"/>
          <w:tab w:val="right" w:pos="9071"/>
        </w:tabs>
        <w:adjustRightInd w:val="0"/>
        <w:snapToGrid w:val="0"/>
        <w:spacing w:line="600" w:lineRule="exact"/>
        <w:ind w:firstLine="0"/>
        <w:rPr>
          <w:bCs/>
          <w:color w:val="000000"/>
          <w:kern w:val="0"/>
          <w:szCs w:val="32"/>
        </w:rPr>
      </w:pPr>
      <w:r>
        <w:rPr>
          <w:color w:val="000000"/>
          <w:kern w:val="0"/>
          <w:szCs w:val="32"/>
        </w:rPr>
        <w:t xml:space="preserve">各市（州）人力资源和社会保障局、财政局： </w:t>
      </w:r>
    </w:p>
    <w:p>
      <w:pPr>
        <w:tabs>
          <w:tab w:val="left" w:pos="6750"/>
        </w:tabs>
        <w:adjustRightInd w:val="0"/>
        <w:snapToGrid w:val="0"/>
        <w:spacing w:line="600" w:lineRule="exact"/>
        <w:ind w:firstLine="640" w:firstLineChars="200"/>
        <w:rPr>
          <w:kern w:val="0"/>
          <w:szCs w:val="32"/>
        </w:rPr>
      </w:pPr>
      <w:r>
        <w:rPr>
          <w:kern w:val="0"/>
          <w:szCs w:val="32"/>
        </w:rPr>
        <w:t>根据《工伤保险条例》（国务院586号令）、《人力资源社会保障部关于工伤保险待遇调整和确定机制的指导意见》（人社部发〔2017〕58号）和《四川省人力资源和社会保障厅、四川省财政厅、国家税务总局四川省税务局印发〈关于进一步完善四川省工伤保险省级统筹制度的实施意见〉的通知》（川人社规〔2023〕3号）等规定，现就2024年调整工伤人员伤残津贴（或伤残抚恤金、基本养老金，下同）、生活护理费和供养亲属抚恤金等待遇有关事项通知如下。</w:t>
      </w:r>
    </w:p>
    <w:p>
      <w:pPr>
        <w:tabs>
          <w:tab w:val="left" w:pos="6750"/>
        </w:tabs>
        <w:adjustRightInd w:val="0"/>
        <w:snapToGrid w:val="0"/>
        <w:spacing w:line="600" w:lineRule="exact"/>
        <w:ind w:firstLine="640" w:firstLineChars="200"/>
        <w:rPr>
          <w:rFonts w:eastAsia="黑体"/>
          <w:kern w:val="0"/>
          <w:szCs w:val="32"/>
        </w:rPr>
      </w:pPr>
      <w:r>
        <w:rPr>
          <w:rFonts w:eastAsia="黑体"/>
          <w:kern w:val="0"/>
          <w:szCs w:val="32"/>
        </w:rPr>
        <w:t>一、调整范围</w:t>
      </w:r>
    </w:p>
    <w:p>
      <w:pPr>
        <w:tabs>
          <w:tab w:val="left" w:pos="6750"/>
        </w:tabs>
        <w:adjustRightInd w:val="0"/>
        <w:snapToGrid w:val="0"/>
        <w:spacing w:line="600" w:lineRule="exact"/>
        <w:ind w:firstLine="640" w:firstLineChars="200"/>
        <w:rPr>
          <w:kern w:val="0"/>
          <w:szCs w:val="32"/>
        </w:rPr>
      </w:pPr>
      <w:r>
        <w:rPr>
          <w:kern w:val="0"/>
          <w:szCs w:val="32"/>
        </w:rPr>
        <w:t>本次待遇调整对象为2023年12月31日前按月领取伤残津贴、生活护理费、供养亲属抚恤金的人员，以及基本丧失劳动能力且按月享受致残补助费的原临时工（以下简称工伤人员）。</w:t>
      </w:r>
    </w:p>
    <w:p>
      <w:pPr>
        <w:tabs>
          <w:tab w:val="left" w:pos="6750"/>
        </w:tabs>
        <w:adjustRightInd w:val="0"/>
        <w:snapToGrid w:val="0"/>
        <w:spacing w:line="600" w:lineRule="exact"/>
        <w:ind w:firstLine="640" w:firstLineChars="200"/>
        <w:rPr>
          <w:kern w:val="0"/>
          <w:szCs w:val="32"/>
        </w:rPr>
      </w:pPr>
      <w:r>
        <w:rPr>
          <w:kern w:val="0"/>
          <w:szCs w:val="32"/>
        </w:rPr>
        <w:t>不包含2023年12月31日前已经死亡和按有关规定一次性领取长期待遇终止了工伤保险关系的工伤人员。</w:t>
      </w:r>
    </w:p>
    <w:p>
      <w:pPr>
        <w:tabs>
          <w:tab w:val="left" w:pos="6750"/>
        </w:tabs>
        <w:adjustRightInd w:val="0"/>
        <w:snapToGrid w:val="0"/>
        <w:spacing w:line="600" w:lineRule="exact"/>
        <w:ind w:firstLine="640" w:firstLineChars="200"/>
        <w:rPr>
          <w:rFonts w:eastAsia="黑体"/>
          <w:kern w:val="0"/>
          <w:szCs w:val="32"/>
        </w:rPr>
      </w:pPr>
      <w:r>
        <w:rPr>
          <w:rFonts w:eastAsia="黑体"/>
          <w:kern w:val="0"/>
          <w:szCs w:val="32"/>
        </w:rPr>
        <w:t>二、调整标准</w:t>
      </w:r>
    </w:p>
    <w:p>
      <w:pPr>
        <w:tabs>
          <w:tab w:val="left" w:pos="6750"/>
        </w:tabs>
        <w:adjustRightInd w:val="0"/>
        <w:snapToGrid w:val="0"/>
        <w:spacing w:line="600" w:lineRule="exact"/>
        <w:ind w:firstLine="640" w:firstLineChars="200"/>
        <w:rPr>
          <w:rFonts w:eastAsia="楷体_GB2312"/>
          <w:kern w:val="0"/>
          <w:szCs w:val="32"/>
        </w:rPr>
      </w:pPr>
      <w:r>
        <w:rPr>
          <w:rFonts w:eastAsia="楷体_GB2312"/>
          <w:kern w:val="0"/>
          <w:szCs w:val="32"/>
        </w:rPr>
        <w:t>（一）伤残津贴</w:t>
      </w:r>
    </w:p>
    <w:p>
      <w:pPr>
        <w:tabs>
          <w:tab w:val="left" w:pos="6750"/>
        </w:tabs>
        <w:adjustRightInd w:val="0"/>
        <w:snapToGrid w:val="0"/>
        <w:spacing w:line="600" w:lineRule="exact"/>
        <w:ind w:firstLine="640" w:firstLineChars="200"/>
        <w:rPr>
          <w:kern w:val="0"/>
          <w:szCs w:val="32"/>
        </w:rPr>
      </w:pPr>
      <w:r>
        <w:rPr>
          <w:kern w:val="0"/>
          <w:szCs w:val="32"/>
        </w:rPr>
        <w:t>1.伤残一级至四级（含完全丧失劳动能力）的工伤人员，每人月伤残津贴增加156元。</w:t>
      </w:r>
    </w:p>
    <w:p>
      <w:pPr>
        <w:tabs>
          <w:tab w:val="left" w:pos="6750"/>
        </w:tabs>
        <w:adjustRightInd w:val="0"/>
        <w:snapToGrid w:val="0"/>
        <w:spacing w:line="600" w:lineRule="exact"/>
        <w:ind w:firstLine="640" w:firstLineChars="200"/>
        <w:rPr>
          <w:kern w:val="0"/>
          <w:szCs w:val="32"/>
        </w:rPr>
      </w:pPr>
      <w:r>
        <w:rPr>
          <w:kern w:val="0"/>
          <w:szCs w:val="32"/>
        </w:rPr>
        <w:t>2.伤残五级、六级的工伤人员，由社会保险经办机构发放伤残津贴的，每人月伤残津贴增加</w:t>
      </w:r>
      <w:r>
        <w:rPr>
          <w:snapToGrid w:val="0"/>
          <w:kern w:val="0"/>
          <w:szCs w:val="32"/>
        </w:rPr>
        <w:t>109</w:t>
      </w:r>
      <w:r>
        <w:rPr>
          <w:kern w:val="0"/>
          <w:szCs w:val="32"/>
        </w:rPr>
        <w:t>元；由用人单位支付伤残津贴的，可参照此标准执行。</w:t>
      </w:r>
    </w:p>
    <w:p>
      <w:pPr>
        <w:tabs>
          <w:tab w:val="left" w:pos="6750"/>
        </w:tabs>
        <w:adjustRightInd w:val="0"/>
        <w:snapToGrid w:val="0"/>
        <w:spacing w:line="600" w:lineRule="exact"/>
        <w:ind w:firstLine="640" w:firstLineChars="200"/>
        <w:rPr>
          <w:rFonts w:eastAsia="楷体_GB2312"/>
          <w:kern w:val="0"/>
          <w:szCs w:val="32"/>
        </w:rPr>
      </w:pPr>
      <w:r>
        <w:rPr>
          <w:rFonts w:eastAsia="楷体_GB2312"/>
          <w:kern w:val="0"/>
          <w:szCs w:val="32"/>
        </w:rPr>
        <w:t>（二）生活护理费</w:t>
      </w:r>
    </w:p>
    <w:p>
      <w:pPr>
        <w:tabs>
          <w:tab w:val="left" w:pos="6750"/>
        </w:tabs>
        <w:adjustRightInd w:val="0"/>
        <w:snapToGrid w:val="0"/>
        <w:spacing w:line="600" w:lineRule="exact"/>
        <w:ind w:firstLine="640" w:firstLineChars="200"/>
        <w:rPr>
          <w:kern w:val="0"/>
          <w:szCs w:val="32"/>
        </w:rPr>
      </w:pPr>
      <w:r>
        <w:rPr>
          <w:kern w:val="0"/>
          <w:szCs w:val="32"/>
        </w:rPr>
        <w:t>享受生活护理费的工伤人员，其月生活护理费按照生活完全、大部分、部分不能自理3个等级，分别调整为2023年全省城镇全部单位就业人员月平均工资（以下简称月平均工资）的50%、40%、30%，即3759.17元、3007.33元、2255.50元。2019年月平均工资高于2023年全省月平均工资的市（州），在全省月平均工资首次达到或超过该市（州）2019年月平均工资前，以该市（州）2019年月平均工资为计发基数。</w:t>
      </w:r>
    </w:p>
    <w:p>
      <w:pPr>
        <w:tabs>
          <w:tab w:val="left" w:pos="6750"/>
        </w:tabs>
        <w:adjustRightInd w:val="0"/>
        <w:snapToGrid w:val="0"/>
        <w:spacing w:line="600" w:lineRule="exact"/>
        <w:ind w:firstLine="640" w:firstLineChars="200"/>
        <w:rPr>
          <w:rFonts w:eastAsia="楷体_GB2312"/>
          <w:kern w:val="0"/>
          <w:szCs w:val="32"/>
        </w:rPr>
      </w:pPr>
      <w:r>
        <w:rPr>
          <w:rFonts w:eastAsia="楷体_GB2312"/>
          <w:kern w:val="0"/>
          <w:szCs w:val="32"/>
        </w:rPr>
        <w:t>（三）供养亲属抚恤金</w:t>
      </w:r>
    </w:p>
    <w:p>
      <w:pPr>
        <w:tabs>
          <w:tab w:val="left" w:pos="6750"/>
        </w:tabs>
        <w:adjustRightInd w:val="0"/>
        <w:snapToGrid w:val="0"/>
        <w:spacing w:line="600" w:lineRule="exact"/>
        <w:ind w:firstLine="640" w:firstLineChars="200"/>
        <w:rPr>
          <w:kern w:val="0"/>
          <w:szCs w:val="32"/>
        </w:rPr>
      </w:pPr>
      <w:r>
        <w:rPr>
          <w:kern w:val="0"/>
          <w:szCs w:val="32"/>
        </w:rPr>
        <w:t>享受供养亲属抚恤金的工亡人员供养亲属，每人月供养亲属抚恤金增加</w:t>
      </w:r>
      <w:r>
        <w:rPr>
          <w:snapToGrid w:val="0"/>
          <w:kern w:val="0"/>
          <w:szCs w:val="32"/>
        </w:rPr>
        <w:t>53</w:t>
      </w:r>
      <w:r>
        <w:rPr>
          <w:kern w:val="0"/>
          <w:szCs w:val="32"/>
        </w:rPr>
        <w:t>元。</w:t>
      </w:r>
    </w:p>
    <w:p>
      <w:pPr>
        <w:tabs>
          <w:tab w:val="left" w:pos="6750"/>
        </w:tabs>
        <w:adjustRightInd w:val="0"/>
        <w:snapToGrid w:val="0"/>
        <w:spacing w:line="600" w:lineRule="exact"/>
        <w:ind w:firstLine="640" w:firstLineChars="200"/>
        <w:rPr>
          <w:rFonts w:eastAsia="楷体_GB2312"/>
          <w:kern w:val="0"/>
          <w:szCs w:val="32"/>
        </w:rPr>
      </w:pPr>
      <w:r>
        <w:rPr>
          <w:rFonts w:eastAsia="楷体_GB2312"/>
          <w:kern w:val="0"/>
          <w:szCs w:val="32"/>
        </w:rPr>
        <w:t>（四）致残补助费</w:t>
      </w:r>
    </w:p>
    <w:p>
      <w:pPr>
        <w:tabs>
          <w:tab w:val="left" w:pos="6750"/>
        </w:tabs>
        <w:adjustRightInd w:val="0"/>
        <w:snapToGrid w:val="0"/>
        <w:spacing w:line="600" w:lineRule="exact"/>
        <w:ind w:firstLine="640" w:firstLineChars="200"/>
        <w:rPr>
          <w:b/>
          <w:bCs/>
          <w:kern w:val="0"/>
          <w:szCs w:val="32"/>
        </w:rPr>
      </w:pPr>
      <w:r>
        <w:rPr>
          <w:kern w:val="0"/>
          <w:szCs w:val="32"/>
        </w:rPr>
        <w:t>按照我省原《临时工因工致残待遇的暂行办法》明确的基本丧失劳动能力且按月享受致残补助费的临时工工伤人员，每人月致残补助费增加83元。</w:t>
      </w:r>
    </w:p>
    <w:p>
      <w:pPr>
        <w:tabs>
          <w:tab w:val="left" w:pos="6750"/>
        </w:tabs>
        <w:adjustRightInd w:val="0"/>
        <w:snapToGrid w:val="0"/>
        <w:spacing w:line="600" w:lineRule="exact"/>
        <w:ind w:firstLine="640" w:firstLineChars="200"/>
        <w:rPr>
          <w:rFonts w:eastAsia="楷体_GB2312"/>
          <w:kern w:val="0"/>
          <w:szCs w:val="32"/>
        </w:rPr>
      </w:pPr>
      <w:r>
        <w:rPr>
          <w:rFonts w:eastAsia="楷体_GB2312"/>
          <w:kern w:val="0"/>
          <w:szCs w:val="32"/>
        </w:rPr>
        <w:t>（五）职业伤害保障相关待遇</w:t>
      </w:r>
    </w:p>
    <w:p>
      <w:pPr>
        <w:tabs>
          <w:tab w:val="left" w:pos="6750"/>
        </w:tabs>
        <w:adjustRightInd w:val="0"/>
        <w:snapToGrid w:val="0"/>
        <w:spacing w:line="600" w:lineRule="exact"/>
        <w:ind w:firstLine="640" w:firstLineChars="200"/>
        <w:rPr>
          <w:snapToGrid w:val="0"/>
          <w:kern w:val="0"/>
          <w:szCs w:val="32"/>
        </w:rPr>
      </w:pPr>
      <w:r>
        <w:rPr>
          <w:kern w:val="0"/>
          <w:szCs w:val="32"/>
        </w:rPr>
        <w:t>符合按月领取职业伤害保障一级至四级伤残津贴的工伤人员和按月领取职业伤害保障供养亲属抚恤金的工亡人员供养亲属，其伤残津贴和供养亲属抚恤金调整标准按照上述第（一）、第（三）条执行。符合按月领取职业伤害保障生活护理费的工伤人员，其月生活护理费按照2023年度全省城镇私营单位就业人员月平均工资的相应比例计算调整。</w:t>
      </w:r>
    </w:p>
    <w:p>
      <w:pPr>
        <w:tabs>
          <w:tab w:val="left" w:pos="6750"/>
        </w:tabs>
        <w:adjustRightInd w:val="0"/>
        <w:snapToGrid w:val="0"/>
        <w:spacing w:line="600" w:lineRule="exact"/>
        <w:ind w:firstLine="640" w:firstLineChars="200"/>
        <w:rPr>
          <w:rFonts w:eastAsia="楷体_GB2312"/>
          <w:kern w:val="0"/>
          <w:szCs w:val="32"/>
        </w:rPr>
      </w:pPr>
      <w:r>
        <w:rPr>
          <w:rFonts w:eastAsia="楷体_GB2312"/>
          <w:kern w:val="0"/>
          <w:szCs w:val="32"/>
        </w:rPr>
        <w:t>（六）其他待遇调整</w:t>
      </w:r>
    </w:p>
    <w:p>
      <w:pPr>
        <w:tabs>
          <w:tab w:val="left" w:pos="6750"/>
        </w:tabs>
        <w:adjustRightInd w:val="0"/>
        <w:snapToGrid w:val="0"/>
        <w:spacing w:line="600" w:lineRule="exact"/>
        <w:ind w:firstLine="640" w:firstLineChars="200"/>
        <w:rPr>
          <w:kern w:val="0"/>
          <w:szCs w:val="32"/>
        </w:rPr>
      </w:pPr>
      <w:r>
        <w:rPr>
          <w:kern w:val="0"/>
          <w:szCs w:val="32"/>
        </w:rPr>
        <w:t>各地在执行2024年工伤人员相关待遇和退休人员基本养老金调整相关待遇调整时，工伤人员不得同时享受工伤、养老待遇调整，应将两类待遇的调整总额进行对比，按照“就高不就低”的原则调整。</w:t>
      </w:r>
    </w:p>
    <w:p>
      <w:pPr>
        <w:tabs>
          <w:tab w:val="left" w:pos="6750"/>
        </w:tabs>
        <w:adjustRightInd w:val="0"/>
        <w:snapToGrid w:val="0"/>
        <w:spacing w:line="600" w:lineRule="exact"/>
        <w:ind w:firstLine="640" w:firstLineChars="200"/>
        <w:rPr>
          <w:rFonts w:eastAsia="黑体"/>
          <w:kern w:val="0"/>
          <w:szCs w:val="32"/>
        </w:rPr>
      </w:pPr>
      <w:r>
        <w:rPr>
          <w:rFonts w:eastAsia="黑体"/>
          <w:kern w:val="0"/>
          <w:szCs w:val="32"/>
        </w:rPr>
        <w:t>三、资金支付渠道</w:t>
      </w:r>
    </w:p>
    <w:p>
      <w:pPr>
        <w:tabs>
          <w:tab w:val="left" w:pos="6750"/>
        </w:tabs>
        <w:adjustRightInd w:val="0"/>
        <w:snapToGrid w:val="0"/>
        <w:spacing w:line="600" w:lineRule="exact"/>
        <w:ind w:firstLine="640" w:firstLineChars="200"/>
        <w:rPr>
          <w:kern w:val="0"/>
          <w:szCs w:val="32"/>
        </w:rPr>
      </w:pPr>
      <w:r>
        <w:rPr>
          <w:kern w:val="0"/>
          <w:szCs w:val="32"/>
        </w:rPr>
        <w:t>相关待遇调整所需资金由原资金渠道解决。</w:t>
      </w:r>
    </w:p>
    <w:p>
      <w:pPr>
        <w:tabs>
          <w:tab w:val="left" w:pos="6750"/>
        </w:tabs>
        <w:adjustRightInd w:val="0"/>
        <w:snapToGrid w:val="0"/>
        <w:spacing w:line="600" w:lineRule="exact"/>
        <w:ind w:firstLine="640" w:firstLineChars="200"/>
        <w:rPr>
          <w:rFonts w:eastAsia="黑体"/>
          <w:kern w:val="0"/>
          <w:szCs w:val="32"/>
        </w:rPr>
      </w:pPr>
      <w:r>
        <w:rPr>
          <w:rFonts w:eastAsia="黑体"/>
          <w:kern w:val="0"/>
          <w:szCs w:val="32"/>
        </w:rPr>
        <w:t>四、执行时间</w:t>
      </w:r>
    </w:p>
    <w:p>
      <w:pPr>
        <w:tabs>
          <w:tab w:val="left" w:pos="6750"/>
        </w:tabs>
        <w:adjustRightInd w:val="0"/>
        <w:snapToGrid w:val="0"/>
        <w:spacing w:line="600" w:lineRule="exact"/>
        <w:ind w:firstLine="640" w:firstLineChars="200"/>
        <w:rPr>
          <w:kern w:val="0"/>
          <w:szCs w:val="32"/>
        </w:rPr>
      </w:pPr>
      <w:r>
        <w:rPr>
          <w:kern w:val="0"/>
          <w:szCs w:val="32"/>
        </w:rPr>
        <w:t>工伤人员相关待遇调整从2024年1月1日起执行。</w:t>
      </w:r>
    </w:p>
    <w:p>
      <w:pPr>
        <w:tabs>
          <w:tab w:val="left" w:pos="6750"/>
        </w:tabs>
        <w:adjustRightInd w:val="0"/>
        <w:snapToGrid w:val="0"/>
        <w:spacing w:line="600" w:lineRule="exact"/>
        <w:ind w:firstLine="640" w:firstLineChars="200"/>
        <w:rPr>
          <w:rFonts w:eastAsia="黑体"/>
          <w:kern w:val="0"/>
          <w:szCs w:val="32"/>
        </w:rPr>
      </w:pPr>
      <w:r>
        <w:rPr>
          <w:rFonts w:eastAsia="黑体"/>
          <w:kern w:val="0"/>
          <w:szCs w:val="32"/>
        </w:rPr>
        <w:t>五、工作要求</w:t>
      </w:r>
    </w:p>
    <w:p>
      <w:pPr>
        <w:tabs>
          <w:tab w:val="left" w:pos="6750"/>
        </w:tabs>
        <w:adjustRightInd w:val="0"/>
        <w:snapToGrid w:val="0"/>
        <w:spacing w:line="600" w:lineRule="exact"/>
        <w:ind w:firstLine="640" w:firstLineChars="200"/>
        <w:rPr>
          <w:kern w:val="0"/>
          <w:szCs w:val="32"/>
        </w:rPr>
      </w:pPr>
      <w:r>
        <w:rPr>
          <w:kern w:val="0"/>
          <w:szCs w:val="32"/>
        </w:rPr>
        <w:t>调整工伤保险相关待遇，是保障和改善民生的重要措施，充分体现了党中央、国务院和省委、省政府对广大工伤人员的亲切关怀。各级人力资源社会保障部门及用人单位要抓紧组织实施，严格执行政策规定，切实做好工伤人员相关待遇的调整工作。工伤人员待遇调整工作结束后，省社会保险管理局将落实2024年工伤人员待遇调整情况报人力资源社会保障厅。</w:t>
      </w:r>
    </w:p>
    <w:p>
      <w:pPr>
        <w:tabs>
          <w:tab w:val="left" w:pos="6750"/>
        </w:tabs>
        <w:adjustRightInd w:val="0"/>
        <w:snapToGrid w:val="0"/>
        <w:spacing w:line="600" w:lineRule="exact"/>
        <w:ind w:firstLine="640" w:firstLineChars="200"/>
        <w:rPr>
          <w:kern w:val="0"/>
          <w:szCs w:val="32"/>
        </w:rPr>
      </w:pPr>
      <w:r>
        <w:rPr>
          <w:kern w:val="0"/>
          <w:szCs w:val="32"/>
        </w:rPr>
        <w:t>本通知有效期至2024年12月31日。</w:t>
      </w:r>
    </w:p>
    <w:p>
      <w:pPr>
        <w:tabs>
          <w:tab w:val="left" w:pos="6750"/>
        </w:tabs>
        <w:adjustRightInd w:val="0"/>
        <w:snapToGrid w:val="0"/>
        <w:spacing w:line="600" w:lineRule="exact"/>
        <w:ind w:firstLine="640" w:firstLineChars="200"/>
        <w:rPr>
          <w:kern w:val="0"/>
          <w:szCs w:val="32"/>
        </w:rPr>
      </w:pPr>
    </w:p>
    <w:p>
      <w:pPr>
        <w:tabs>
          <w:tab w:val="left" w:pos="6750"/>
        </w:tabs>
        <w:adjustRightInd w:val="0"/>
        <w:snapToGrid w:val="0"/>
        <w:spacing w:line="600" w:lineRule="exact"/>
        <w:ind w:firstLine="640" w:firstLineChars="200"/>
        <w:rPr>
          <w:kern w:val="0"/>
          <w:szCs w:val="32"/>
        </w:rPr>
      </w:pPr>
    </w:p>
    <w:p>
      <w:pPr>
        <w:tabs>
          <w:tab w:val="left" w:pos="6750"/>
        </w:tabs>
        <w:adjustRightInd w:val="0"/>
        <w:snapToGrid w:val="0"/>
        <w:spacing w:line="600" w:lineRule="exact"/>
        <w:ind w:firstLine="640" w:firstLineChars="200"/>
        <w:rPr>
          <w:kern w:val="0"/>
          <w:szCs w:val="32"/>
        </w:rPr>
      </w:pPr>
      <w:bookmarkStart w:id="0" w:name="_GoBack"/>
      <w:bookmarkEnd w:id="0"/>
    </w:p>
    <w:p>
      <w:pPr>
        <w:pStyle w:val="5"/>
        <w:spacing w:before="0" w:after="0" w:line="580" w:lineRule="exact"/>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四川省人力资源和社会保障厅       四 川 省 财 政 厅</w:t>
      </w:r>
    </w:p>
    <w:p>
      <w:pPr>
        <w:pStyle w:val="5"/>
        <w:spacing w:before="0" w:after="0" w:line="240" w:lineRule="exact"/>
        <w:ind w:firstLine="419" w:firstLineChars="131"/>
        <w:rPr>
          <w:rFonts w:ascii="Times New Roman" w:hAnsi="Times New Roman" w:eastAsia="仿宋_GB2312" w:cs="Times New Roman"/>
          <w:sz w:val="32"/>
          <w:szCs w:val="32"/>
        </w:rPr>
      </w:pPr>
    </w:p>
    <w:p>
      <w:pPr>
        <w:pStyle w:val="5"/>
        <w:spacing w:before="0" w:after="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2024年8月29日</w:t>
      </w:r>
    </w:p>
    <w:p/>
    <w:p/>
    <w:p>
      <w:pPr>
        <w:tabs>
          <w:tab w:val="left" w:pos="5954"/>
        </w:tabs>
        <w:ind w:firstLine="280" w:firstLineChars="100"/>
        <w:rPr>
          <w:sz w:val="28"/>
          <w:szCs w:val="28"/>
        </w:rPr>
      </w:pPr>
    </w:p>
    <w:sectPr>
      <w:footerReference r:id="rId5" w:type="default"/>
      <w:footerReference r:id="rId6" w:type="even"/>
      <w:pgSz w:w="11906" w:h="16838"/>
      <w:pgMar w:top="2098" w:right="1474" w:bottom="1985" w:left="1588" w:header="851" w:footer="1418"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7797788"/>
      <w:docPartObj>
        <w:docPartGallery w:val="AutoText"/>
      </w:docPartObj>
    </w:sdtPr>
    <w:sdtEndPr>
      <w:rPr>
        <w:rFonts w:ascii="宋体" w:hAnsi="宋体" w:eastAsia="宋体"/>
        <w:sz w:val="28"/>
        <w:szCs w:val="28"/>
      </w:rPr>
    </w:sdtEndPr>
    <w:sdtContent>
      <w:p>
        <w:pPr>
          <w:pStyle w:val="3"/>
          <w:wordWrap w:val="0"/>
          <w:spacing w:line="240" w:lineRule="auto"/>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7797801"/>
      <w:docPartObj>
        <w:docPartGallery w:val="AutoText"/>
      </w:docPartObj>
    </w:sdtPr>
    <w:sdtEndPr>
      <w:rPr>
        <w:rFonts w:ascii="宋体" w:hAnsi="宋体" w:eastAsia="宋体"/>
        <w:sz w:val="28"/>
        <w:szCs w:val="28"/>
      </w:rPr>
    </w:sdtEndPr>
    <w:sdtContent>
      <w:p>
        <w:pPr>
          <w:pStyle w:val="3"/>
          <w:spacing w:line="240" w:lineRule="auto"/>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evenAndOddHeaders w:val="true"/>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A1947CF"/>
    <w:rsid w:val="005847E6"/>
    <w:rsid w:val="00894F9E"/>
    <w:rsid w:val="4A1947CF"/>
    <w:rsid w:val="7D7FE83A"/>
    <w:rsid w:val="7F5F2F48"/>
    <w:rsid w:val="9FBF4DFD"/>
    <w:rsid w:val="FDBF9096"/>
    <w:rsid w:val="FDFF6A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Body Text First Indent"/>
    <w:basedOn w:val="2"/>
    <w:link w:val="10"/>
    <w:qFormat/>
    <w:uiPriority w:val="0"/>
    <w:pPr>
      <w:spacing w:before="120" w:line="360" w:lineRule="auto"/>
      <w:ind w:firstLine="420" w:firstLineChars="100"/>
    </w:pPr>
    <w:rPr>
      <w:rFonts w:ascii="Calibri" w:hAnsi="Calibri" w:eastAsiaTheme="minorEastAsia" w:cstheme="minorBidi"/>
      <w:sz w:val="24"/>
      <w:szCs w:val="24"/>
    </w:rPr>
  </w:style>
  <w:style w:type="character" w:customStyle="1" w:styleId="8">
    <w:name w:val="正文首行缩进 Char"/>
    <w:link w:val="5"/>
    <w:qFormat/>
    <w:uiPriority w:val="0"/>
    <w:rPr>
      <w:rFonts w:ascii="Calibri" w:hAnsi="Calibri"/>
      <w:kern w:val="2"/>
      <w:sz w:val="24"/>
      <w:szCs w:val="24"/>
    </w:rPr>
  </w:style>
  <w:style w:type="character" w:customStyle="1" w:styleId="9">
    <w:name w:val="正文文本 Char"/>
    <w:basedOn w:val="7"/>
    <w:link w:val="2"/>
    <w:qFormat/>
    <w:uiPriority w:val="0"/>
    <w:rPr>
      <w:rFonts w:ascii="Times New Roman" w:hAnsi="Times New Roman" w:eastAsia="仿宋_GB2312" w:cs="Times New Roman"/>
      <w:kern w:val="2"/>
      <w:sz w:val="32"/>
    </w:rPr>
  </w:style>
  <w:style w:type="character" w:customStyle="1" w:styleId="10">
    <w:name w:val="正文首行缩进 Char1"/>
    <w:basedOn w:val="9"/>
    <w:link w:val="5"/>
    <w:qFormat/>
    <w:uiPriority w:val="0"/>
  </w:style>
  <w:style w:type="character" w:customStyle="1" w:styleId="11">
    <w:name w:val="页脚 Char"/>
    <w:basedOn w:val="7"/>
    <w:link w:val="3"/>
    <w:qFormat/>
    <w:uiPriority w:val="99"/>
    <w:rPr>
      <w:rFonts w:ascii="Times New Roman" w:hAnsi="Times New Roman" w:eastAsia="仿宋_GB2312"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1369</Words>
  <Characters>212</Characters>
  <Lines>1</Lines>
  <Paragraphs>3</Paragraphs>
  <TotalTime>1</TotalTime>
  <ScaleCrop>false</ScaleCrop>
  <LinksUpToDate>false</LinksUpToDate>
  <CharactersWithSpaces>1578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2024-09-18T10:51:00Z</dcterms:created>
  <dc:creator>d</dc:creator>
  <cp:lastModifiedBy>user</cp:lastModifiedBy>
  <cp:lastPrinted>2024-09-18T10:51:00Z</cp:lastPrinted>
  <dcterms:modified xsi:type="dcterms:W3CDTF">2024-09-19T17:42:16Z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