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办理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劳动者等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特定人员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参加工伤保险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承诺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，根据《关于单位从业的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劳动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者等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特定人员参加工伤保险的办法》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（以下简称《办法》）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规定，本单位（组织）自愿选择为所使用的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未建立劳动关系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特定人员单项参加工伤保险、缴纳工伤保险费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。现申请办理单项参加工伤保险，并对下列事项进行填报和确认：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一、确认单位（组织）类型（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企业（非家政服务企业、非互联网平台企业、非快递企业）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家政服务企业（机构）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u w:val="single" w:color="auto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互联网平台企业、众包服务公司、配送商等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快递企业、基层快递网点等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国家机关、事业单位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社会团体（组织）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民办非企业单位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基金会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以单位形式参保的个体工商户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村（社区）两委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其他从业单位（组织）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二、作出承诺事项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（一）本单位（组织）承诺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，本单位（组织）所自愿办理的参加单项工伤保险的特定灵活就业人员均符合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条件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按规定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缴纳工伤保险费。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（二）本单位（组织）承诺及时如实告知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相关从业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人员单项参加工伤保险和缴费情况以及有关工伤保险权利义务，并依法依规履行工伤认定申请义务。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（三）本单位（组织）承诺已为建立劳动关系的劳动者依法参加社会保险，并未将建立劳动关系的劳动者办理单项参加工伤保险，否则将依法承担相关法律责任。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（四）本单位（组织）承诺未为与本单位（组织）无从业关系的其他人员办理单项参加工伤保险，否则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导致其人员不能被认定工伤。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本单位（组织）承诺知晓人社部门对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经核查发现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不符合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参保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范围的从业人员，可不予受理工伤认定申请。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 w:color="auto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（五）本单位（组织）承诺办理工伤认定、劳动能力鉴定、工伤保险待遇申请时，按规定如实提供各项材料，并配合人力资源社会保障部门调查核实。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本单位（组织）配合社会保险经办机构追回多发工伤保险待遇。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如虚构工伤事故或伪造工伤材料等骗取工伤保险基金支出的，将依法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承担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三、有关提示事项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（一）按规定缴纳工伤保险费的参保人员，其工伤保险关系自办理参保登记手续的次日起生效。未按规定缴纳工伤保险费的，该期间工伤保险关系不生效。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对因工死亡的人员，死亡当月应继续为其申报缴纳工伤保险费，自死亡次月起再停止为其缴纳工伤保险费，以便衔接工伤保险待遇核发事项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从业单位（组织）应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加强从业人员安全生产和职业卫生培训教育，按规定对从事接触职业病危害作业的从业人员组织上岗前、在岗期间和离岗时职业健康检查，提供相应劳动保护，做好工伤预防工作。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（三）从业单位（组织）可与参保人员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协议约定比如停工留薪期待遇、伤残就业补助金等非工伤保险基金支付的处理办法，鼓励增加投保人身意外伤害等保险，以提供更好保障。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□申请人承诺：本单位（组织）已阅知本承诺书，确认填报信息属实和遵守所承诺事项，如有虚假承诺或违反承诺的情况，愿承担相应法律责任。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□申请人承诺：本单位（组织）已经书面告知相关从业人员按办法单项参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加工伤保险情况，以及有关工伤保险权利义务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告知书由申请人留存备查。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从业单位（组织）盖章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62D9"/>
    <w:rsid w:val="49C74235"/>
    <w:rsid w:val="56660226"/>
    <w:rsid w:val="6DD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Plain Text"/>
    <w:unhideWhenUsed/>
    <w:qFormat/>
    <w:uiPriority w:val="99"/>
    <w:pPr>
      <w:widowControl w:val="0"/>
      <w:jc w:val="both"/>
    </w:pPr>
    <w:rPr>
      <w:rFonts w:ascii="仿宋_GB2312" w:hAnsi="Courier New" w:eastAsia="仿宋_GB2312" w:cs="Courier New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2024-05-31T02:21:00Z</dcterms:created>
  <dc:creator>黄振杰</dc:creator>
  <cp:lastModifiedBy>黄振杰</cp:lastModifiedBy>
  <dcterms:modified xsi:type="dcterms:W3CDTF">2024-05-31T02:22:48Z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9BA60AB8D2674D5D845389220B9E1405</vt:lpwstr>
  </property>
</Properties>
</file>