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3"/>
          <w:tab w:val="left" w:pos="7638"/>
        </w:tabs>
        <w:snapToGrid w:val="0"/>
        <w:jc w:val="center"/>
        <w:rPr>
          <w:rFonts w:eastAsia="方正小标宋简体"/>
          <w:sz w:val="44"/>
          <w:szCs w:val="44"/>
        </w:rPr>
      </w:pPr>
      <w:bookmarkStart w:id="0" w:name="_GoBack"/>
      <w:r>
        <w:rPr>
          <w:rFonts w:eastAsia="方正小标宋简体"/>
          <w:sz w:val="44"/>
          <w:szCs w:val="44"/>
        </w:rPr>
        <w:t>天津市居住证积分指标及分值表</w:t>
      </w:r>
    </w:p>
    <w:bookmarkEnd w:id="0"/>
    <w:tbl>
      <w:tblPr>
        <w:tblStyle w:val="3"/>
        <w:tblW w:w="15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406"/>
        <w:gridCol w:w="4610"/>
        <w:gridCol w:w="1350"/>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1" w:type="dxa"/>
            <w:noWrap w:val="0"/>
            <w:vAlign w:val="center"/>
          </w:tcPr>
          <w:p>
            <w:pPr>
              <w:autoSpaceDE w:val="0"/>
              <w:autoSpaceDN w:val="0"/>
              <w:adjustRightInd w:val="0"/>
              <w:snapToGrid w:val="0"/>
              <w:spacing w:line="0" w:lineRule="atLeast"/>
              <w:jc w:val="center"/>
              <w:rPr>
                <w:rFonts w:eastAsia="黑体"/>
                <w:sz w:val="28"/>
                <w:szCs w:val="28"/>
              </w:rPr>
            </w:pPr>
            <w:r>
              <w:rPr>
                <w:rFonts w:eastAsia="黑体"/>
                <w:sz w:val="28"/>
                <w:szCs w:val="28"/>
                <w:lang w:val="zh-CN"/>
              </w:rPr>
              <w:t>类别</w:t>
            </w:r>
          </w:p>
        </w:tc>
        <w:tc>
          <w:tcPr>
            <w:tcW w:w="851" w:type="dxa"/>
            <w:noWrap w:val="0"/>
            <w:vAlign w:val="center"/>
          </w:tcPr>
          <w:p>
            <w:pPr>
              <w:autoSpaceDE w:val="0"/>
              <w:autoSpaceDN w:val="0"/>
              <w:adjustRightInd w:val="0"/>
              <w:snapToGrid w:val="0"/>
              <w:spacing w:line="0" w:lineRule="atLeast"/>
              <w:jc w:val="center"/>
              <w:rPr>
                <w:rFonts w:eastAsia="黑体"/>
                <w:sz w:val="28"/>
                <w:szCs w:val="28"/>
              </w:rPr>
            </w:pPr>
            <w:r>
              <w:rPr>
                <w:rFonts w:eastAsia="黑体"/>
                <w:sz w:val="28"/>
                <w:szCs w:val="28"/>
                <w:lang w:val="zh-CN"/>
              </w:rPr>
              <w:t>序号</w:t>
            </w:r>
          </w:p>
        </w:tc>
        <w:tc>
          <w:tcPr>
            <w:tcW w:w="1406" w:type="dxa"/>
            <w:noWrap w:val="0"/>
            <w:vAlign w:val="center"/>
          </w:tcPr>
          <w:p>
            <w:pPr>
              <w:autoSpaceDE w:val="0"/>
              <w:autoSpaceDN w:val="0"/>
              <w:adjustRightInd w:val="0"/>
              <w:snapToGrid w:val="0"/>
              <w:spacing w:line="0" w:lineRule="atLeast"/>
              <w:jc w:val="center"/>
              <w:rPr>
                <w:rFonts w:eastAsia="黑体"/>
                <w:sz w:val="28"/>
                <w:szCs w:val="28"/>
              </w:rPr>
            </w:pPr>
            <w:r>
              <w:rPr>
                <w:rFonts w:eastAsia="黑体"/>
                <w:sz w:val="28"/>
                <w:szCs w:val="28"/>
                <w:lang w:val="zh-CN"/>
              </w:rPr>
              <w:t>指标</w:t>
            </w:r>
          </w:p>
        </w:tc>
        <w:tc>
          <w:tcPr>
            <w:tcW w:w="4610" w:type="dxa"/>
            <w:noWrap w:val="0"/>
            <w:vAlign w:val="center"/>
          </w:tcPr>
          <w:p>
            <w:pPr>
              <w:autoSpaceDE w:val="0"/>
              <w:autoSpaceDN w:val="0"/>
              <w:adjustRightInd w:val="0"/>
              <w:snapToGrid w:val="0"/>
              <w:spacing w:line="0" w:lineRule="atLeast"/>
              <w:jc w:val="center"/>
              <w:rPr>
                <w:rFonts w:eastAsia="黑体"/>
                <w:sz w:val="28"/>
                <w:szCs w:val="28"/>
              </w:rPr>
            </w:pPr>
            <w:r>
              <w:rPr>
                <w:rFonts w:eastAsia="黑体"/>
                <w:sz w:val="28"/>
                <w:szCs w:val="28"/>
                <w:lang w:val="zh-CN"/>
              </w:rPr>
              <w:t>指标内容及分值</w:t>
            </w:r>
          </w:p>
        </w:tc>
        <w:tc>
          <w:tcPr>
            <w:tcW w:w="1350" w:type="dxa"/>
            <w:noWrap w:val="0"/>
            <w:vAlign w:val="center"/>
          </w:tcPr>
          <w:p>
            <w:pPr>
              <w:autoSpaceDE w:val="0"/>
              <w:autoSpaceDN w:val="0"/>
              <w:adjustRightInd w:val="0"/>
              <w:snapToGrid w:val="0"/>
              <w:spacing w:line="0" w:lineRule="atLeast"/>
              <w:jc w:val="center"/>
              <w:rPr>
                <w:rFonts w:eastAsia="黑体"/>
                <w:sz w:val="28"/>
                <w:szCs w:val="28"/>
              </w:rPr>
            </w:pPr>
            <w:r>
              <w:rPr>
                <w:rFonts w:eastAsia="黑体"/>
                <w:sz w:val="28"/>
                <w:szCs w:val="28"/>
                <w:lang w:val="zh-CN"/>
              </w:rPr>
              <w:t>负责部门</w:t>
            </w:r>
          </w:p>
        </w:tc>
        <w:tc>
          <w:tcPr>
            <w:tcW w:w="6117" w:type="dxa"/>
            <w:noWrap w:val="0"/>
            <w:vAlign w:val="center"/>
          </w:tcPr>
          <w:p>
            <w:pPr>
              <w:autoSpaceDE w:val="0"/>
              <w:autoSpaceDN w:val="0"/>
              <w:adjustRightInd w:val="0"/>
              <w:snapToGrid w:val="0"/>
              <w:spacing w:line="0" w:lineRule="atLeast"/>
              <w:jc w:val="center"/>
              <w:rPr>
                <w:rFonts w:eastAsia="黑体"/>
                <w:sz w:val="28"/>
                <w:szCs w:val="28"/>
              </w:rPr>
            </w:pPr>
            <w:r>
              <w:rPr>
                <w:rFonts w:eastAsia="黑体"/>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jc w:val="center"/>
        </w:trPr>
        <w:tc>
          <w:tcPr>
            <w:tcW w:w="851" w:type="dxa"/>
            <w:vMerge w:val="restart"/>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基</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本</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分</w:t>
            </w: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1</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社会保险</w:t>
            </w:r>
          </w:p>
        </w:tc>
        <w:tc>
          <w:tcPr>
            <w:tcW w:w="461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在</w:t>
            </w:r>
            <w:r>
              <w:rPr>
                <w:rFonts w:hint="eastAsia" w:eastAsia="仿宋_GB2312"/>
                <w:sz w:val="24"/>
                <w:szCs w:val="24"/>
                <w:lang w:val="zh-CN"/>
              </w:rPr>
              <w:t>本市</w:t>
            </w:r>
            <w:r>
              <w:rPr>
                <w:rFonts w:eastAsia="仿宋_GB2312"/>
                <w:sz w:val="24"/>
                <w:szCs w:val="24"/>
                <w:lang w:val="zh-CN"/>
              </w:rPr>
              <w:t>参加社会保险按险种计分。缴费满12个月不满36个月的，每年最高积22分，其中：参加</w:t>
            </w:r>
            <w:r>
              <w:rPr>
                <w:rFonts w:hint="eastAsia" w:eastAsia="仿宋_GB2312"/>
                <w:sz w:val="24"/>
                <w:szCs w:val="24"/>
                <w:lang w:val="zh-CN"/>
              </w:rPr>
              <w:t>职工</w:t>
            </w:r>
            <w:r>
              <w:rPr>
                <w:rFonts w:eastAsia="仿宋_GB2312"/>
                <w:sz w:val="24"/>
                <w:szCs w:val="24"/>
                <w:lang w:val="zh-CN"/>
              </w:rPr>
              <w:t>基本养老保险（10分）</w:t>
            </w:r>
            <w:r>
              <w:rPr>
                <w:rFonts w:hint="eastAsia" w:eastAsia="仿宋_GB2312"/>
                <w:sz w:val="24"/>
                <w:szCs w:val="24"/>
                <w:lang w:val="zh-CN"/>
              </w:rPr>
              <w:t>、</w:t>
            </w:r>
            <w:r>
              <w:rPr>
                <w:rFonts w:eastAsia="仿宋_GB2312"/>
                <w:sz w:val="24"/>
                <w:szCs w:val="24"/>
                <w:lang w:val="zh-CN"/>
              </w:rPr>
              <w:t>基本医疗保险（3分）、失业保险（3分）、工伤保险（3分）、生育保险（3分）；缴费满36个月的，自满36个月的下一月起，每年最高积28分，其中：参加</w:t>
            </w:r>
            <w:r>
              <w:rPr>
                <w:rFonts w:hint="eastAsia" w:eastAsia="仿宋_GB2312"/>
                <w:sz w:val="24"/>
                <w:szCs w:val="24"/>
                <w:lang w:val="zh-CN"/>
              </w:rPr>
              <w:t>职工</w:t>
            </w:r>
            <w:r>
              <w:rPr>
                <w:rFonts w:eastAsia="仿宋_GB2312"/>
                <w:sz w:val="24"/>
                <w:szCs w:val="24"/>
                <w:lang w:val="zh-CN"/>
              </w:rPr>
              <w:t>基本养老保险（12分）</w:t>
            </w:r>
            <w:r>
              <w:rPr>
                <w:rFonts w:hint="eastAsia" w:eastAsia="仿宋_GB2312"/>
                <w:sz w:val="24"/>
                <w:szCs w:val="24"/>
                <w:lang w:val="zh-CN"/>
              </w:rPr>
              <w:t>、</w:t>
            </w:r>
            <w:r>
              <w:rPr>
                <w:rFonts w:eastAsia="仿宋_GB2312"/>
                <w:sz w:val="24"/>
                <w:szCs w:val="24"/>
                <w:lang w:val="zh-CN"/>
              </w:rPr>
              <w:t>基本医疗保险（4分）、失业保险（4分）、工伤保险（4分）、生育保险（4分）。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市人社局</w:t>
            </w:r>
            <w:r>
              <w:rPr>
                <w:rFonts w:hint="eastAsia" w:eastAsia="仿宋_GB2312"/>
                <w:sz w:val="24"/>
                <w:szCs w:val="24"/>
                <w:lang w:val="zh-CN"/>
              </w:rPr>
              <w:t>、</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市医保局</w:t>
            </w:r>
          </w:p>
        </w:tc>
        <w:tc>
          <w:tcPr>
            <w:tcW w:w="6117"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1．申请人补缴社会保险费年限</w:t>
            </w:r>
            <w:r>
              <w:rPr>
                <w:rFonts w:hint="eastAsia" w:eastAsia="仿宋_GB2312"/>
                <w:sz w:val="24"/>
                <w:szCs w:val="24"/>
                <w:lang w:val="zh-CN"/>
              </w:rPr>
              <w:t>、异地转入的外省市社会保险缴费年限和灵活就业人员</w:t>
            </w:r>
            <w:r>
              <w:rPr>
                <w:rFonts w:eastAsia="仿宋_GB2312"/>
                <w:sz w:val="24"/>
                <w:szCs w:val="24"/>
                <w:lang w:val="zh-CN"/>
              </w:rPr>
              <w:t>个人缴纳社会保险费的年限不予计算积分。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2．计算积分的时间，上半年申请的以上年12月31日为截止日期，下半年申请的以当年6月30日为截止日期。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851" w:type="dxa"/>
            <w:vMerge w:val="continue"/>
            <w:noWrap w:val="0"/>
            <w:vAlign w:val="center"/>
          </w:tcPr>
          <w:p>
            <w:pPr>
              <w:autoSpaceDE w:val="0"/>
              <w:autoSpaceDN w:val="0"/>
              <w:adjustRightInd w:val="0"/>
              <w:snapToGrid w:val="0"/>
              <w:spacing w:line="0" w:lineRule="atLeast"/>
              <w:jc w:val="center"/>
              <w:rPr>
                <w:rFonts w:eastAsia="仿宋_GB2312"/>
                <w:sz w:val="24"/>
                <w:szCs w:val="24"/>
                <w:lang w:val="zh-CN"/>
              </w:rPr>
            </w:pPr>
          </w:p>
        </w:tc>
        <w:tc>
          <w:tcPr>
            <w:tcW w:w="851" w:type="dxa"/>
            <w:noWrap w:val="0"/>
            <w:vAlign w:val="center"/>
          </w:tcPr>
          <w:p>
            <w:pPr>
              <w:autoSpaceDE w:val="0"/>
              <w:autoSpaceDN w:val="0"/>
              <w:adjustRightInd w:val="0"/>
              <w:snapToGrid w:val="0"/>
              <w:spacing w:line="0" w:lineRule="atLeast"/>
              <w:jc w:val="center"/>
              <w:rPr>
                <w:rFonts w:eastAsia="仿宋_GB2312"/>
                <w:sz w:val="28"/>
                <w:szCs w:val="28"/>
                <w:lang w:val="zh-CN"/>
              </w:rPr>
            </w:pPr>
            <w:r>
              <w:rPr>
                <w:rFonts w:eastAsia="仿宋_GB2312"/>
                <w:sz w:val="28"/>
                <w:szCs w:val="28"/>
                <w:lang w:val="zh-CN"/>
              </w:rPr>
              <w:t>2</w:t>
            </w:r>
          </w:p>
        </w:tc>
        <w:tc>
          <w:tcPr>
            <w:tcW w:w="1406" w:type="dxa"/>
            <w:noWrap w:val="0"/>
            <w:vAlign w:val="center"/>
          </w:tcPr>
          <w:p>
            <w:pPr>
              <w:autoSpaceDE w:val="0"/>
              <w:autoSpaceDN w:val="0"/>
              <w:adjustRightInd w:val="0"/>
              <w:snapToGrid w:val="0"/>
              <w:spacing w:line="0" w:lineRule="atLeast"/>
              <w:jc w:val="center"/>
              <w:rPr>
                <w:rFonts w:eastAsia="仿宋_GB2312"/>
                <w:sz w:val="28"/>
                <w:szCs w:val="28"/>
                <w:lang w:val="zh-CN"/>
              </w:rPr>
            </w:pPr>
            <w:r>
              <w:rPr>
                <w:rFonts w:eastAsia="仿宋_GB2312"/>
                <w:sz w:val="24"/>
                <w:szCs w:val="24"/>
                <w:lang w:val="zh-CN"/>
              </w:rPr>
              <w:t>居住</w:t>
            </w:r>
          </w:p>
        </w:tc>
        <w:tc>
          <w:tcPr>
            <w:tcW w:w="461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在</w:t>
            </w:r>
            <w:r>
              <w:rPr>
                <w:rFonts w:hint="eastAsia" w:eastAsia="仿宋_GB2312"/>
                <w:sz w:val="24"/>
                <w:szCs w:val="24"/>
                <w:lang w:val="zh-CN"/>
              </w:rPr>
              <w:t>本市</w:t>
            </w:r>
            <w:r>
              <w:rPr>
                <w:rFonts w:eastAsia="仿宋_GB2312"/>
                <w:sz w:val="24"/>
                <w:szCs w:val="24"/>
                <w:lang w:val="zh-CN"/>
              </w:rPr>
              <w:t>租房居住（租赁住房），每年积6分。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在</w:t>
            </w:r>
            <w:r>
              <w:rPr>
                <w:rFonts w:hint="eastAsia" w:eastAsia="仿宋_GB2312"/>
                <w:sz w:val="24"/>
                <w:szCs w:val="24"/>
                <w:lang w:val="zh-CN"/>
              </w:rPr>
              <w:t>本市</w:t>
            </w:r>
            <w:r>
              <w:rPr>
                <w:rFonts w:eastAsia="仿宋_GB2312"/>
                <w:sz w:val="24"/>
                <w:szCs w:val="24"/>
                <w:lang w:val="zh-CN"/>
              </w:rPr>
              <w:t>购房居住（自有住房），住房在和平区、河东区、河西区、南开区、河北区、红桥区的，每年积10分；住房在东丽区、西青区、津南区、北辰区的，每年积11分；住房在武清区、宝坻区、宁河区、静海区、蓟州区的，每年积12分；住房在滨海新区的，每年积15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申请人依法在</w:t>
            </w:r>
            <w:r>
              <w:rPr>
                <w:rFonts w:hint="eastAsia" w:eastAsia="仿宋_GB2312"/>
                <w:sz w:val="24"/>
                <w:szCs w:val="24"/>
                <w:lang w:val="zh-CN"/>
              </w:rPr>
              <w:t>北京市、天津市、河北省</w:t>
            </w:r>
            <w:r>
              <w:rPr>
                <w:rFonts w:eastAsia="仿宋_GB2312"/>
                <w:sz w:val="24"/>
                <w:szCs w:val="24"/>
                <w:lang w:val="zh-CN"/>
              </w:rPr>
              <w:t>办理居住证，每年签注一次，每次积6分。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市住房城乡建设委</w:t>
            </w:r>
            <w:r>
              <w:rPr>
                <w:rFonts w:hint="eastAsia" w:eastAsia="仿宋_GB2312"/>
                <w:sz w:val="24"/>
                <w:szCs w:val="24"/>
                <w:lang w:val="zh-CN"/>
              </w:rPr>
              <w:t>、</w:t>
            </w:r>
            <w:r>
              <w:rPr>
                <w:rFonts w:eastAsia="仿宋_GB2312"/>
                <w:sz w:val="24"/>
                <w:szCs w:val="24"/>
                <w:lang w:val="zh-CN"/>
              </w:rPr>
              <w:t>市规划资源局</w:t>
            </w:r>
            <w:r>
              <w:rPr>
                <w:rFonts w:hint="eastAsia" w:eastAsia="仿宋_GB2312"/>
                <w:sz w:val="24"/>
                <w:szCs w:val="24"/>
                <w:lang w:val="zh-CN"/>
              </w:rPr>
              <w:t>、</w:t>
            </w:r>
            <w:r>
              <w:rPr>
                <w:rFonts w:eastAsia="仿宋_GB2312"/>
                <w:sz w:val="24"/>
                <w:szCs w:val="24"/>
                <w:lang w:val="zh-CN"/>
              </w:rPr>
              <w:t>市公安局</w:t>
            </w:r>
          </w:p>
        </w:tc>
        <w:tc>
          <w:tcPr>
            <w:tcW w:w="6117"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1．申请人自有住房和租赁住房</w:t>
            </w:r>
            <w:r>
              <w:rPr>
                <w:rFonts w:hint="eastAsia" w:eastAsia="仿宋_GB2312"/>
                <w:sz w:val="24"/>
                <w:szCs w:val="24"/>
                <w:lang w:val="zh-CN"/>
              </w:rPr>
              <w:t>以及居住证签注</w:t>
            </w:r>
            <w:r>
              <w:rPr>
                <w:rFonts w:eastAsia="仿宋_GB2312"/>
                <w:sz w:val="24"/>
                <w:szCs w:val="24"/>
                <w:lang w:val="zh-CN"/>
              </w:rPr>
              <w:t>计算积分的时间，上半年申请的以上年12月31日为截止日期，下半年申请的以当年6月30日为截止日期。</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2．申请人持住房租赁合同和租赁备案证明，自登记备案之日起计算租房居住积分。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3．</w:t>
            </w:r>
            <w:r>
              <w:rPr>
                <w:rFonts w:hint="eastAsia" w:eastAsia="仿宋_GB2312"/>
                <w:sz w:val="24"/>
                <w:szCs w:val="24"/>
                <w:lang w:val="zh-CN"/>
              </w:rPr>
              <w:t>在本市</w:t>
            </w:r>
            <w:r>
              <w:rPr>
                <w:rFonts w:eastAsia="仿宋_GB2312"/>
                <w:sz w:val="24"/>
                <w:szCs w:val="24"/>
                <w:lang w:val="zh-CN"/>
              </w:rPr>
              <w:t>有本人产权住房或者与配偶、父母、子女共有产权住房的，自签订天津市商品房买卖合同或房屋买卖协议，并已缴纳契税取得契税完税证明，或取得不动产权证书之日起积分。</w:t>
            </w:r>
          </w:p>
          <w:p>
            <w:pPr>
              <w:autoSpaceDE w:val="0"/>
              <w:autoSpaceDN w:val="0"/>
              <w:adjustRightInd w:val="0"/>
              <w:snapToGrid w:val="0"/>
              <w:spacing w:line="0" w:lineRule="atLeast"/>
              <w:rPr>
                <w:rFonts w:eastAsia="仿宋_GB2312"/>
                <w:szCs w:val="21"/>
                <w:lang w:val="zh-CN"/>
              </w:rPr>
            </w:pPr>
            <w:r>
              <w:rPr>
                <w:rFonts w:eastAsia="仿宋_GB2312"/>
                <w:sz w:val="24"/>
                <w:szCs w:val="24"/>
                <w:lang w:val="zh-CN"/>
              </w:rPr>
              <w:t>4．集体土地上的住房以及在查封、异议登记、限制转让（附有违法建筑等）期间等限制产权的住房不能积分；多套住房不累计加分；同一时段内，租房和购房居住不重复积分。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851" w:type="dxa"/>
            <w:vMerge w:val="restart"/>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基</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本</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分</w:t>
            </w: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3</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住房公积金</w:t>
            </w:r>
          </w:p>
        </w:tc>
        <w:tc>
          <w:tcPr>
            <w:tcW w:w="4610" w:type="dxa"/>
            <w:noWrap w:val="0"/>
            <w:vAlign w:val="center"/>
          </w:tcPr>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缴存住房公积金不满60个月的，每年积3分；缴存满60个月的，自满60个月的下一月起，每年积4分。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市公积金管理中心</w:t>
            </w:r>
          </w:p>
        </w:tc>
        <w:tc>
          <w:tcPr>
            <w:tcW w:w="6117" w:type="dxa"/>
            <w:noWrap w:val="0"/>
            <w:vAlign w:val="center"/>
          </w:tcPr>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计算积分的时间，上半年申请的以上年12月31日为截止日期，下半年申请的以当年6月30日为截止日期。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851" w:type="dxa"/>
            <w:vMerge w:val="continue"/>
            <w:noWrap w:val="0"/>
            <w:vAlign w:val="center"/>
          </w:tcPr>
          <w:p>
            <w:pPr>
              <w:autoSpaceDE w:val="0"/>
              <w:autoSpaceDN w:val="0"/>
              <w:adjustRightInd w:val="0"/>
              <w:snapToGrid w:val="0"/>
              <w:spacing w:line="0" w:lineRule="atLeast"/>
              <w:jc w:val="center"/>
              <w:rPr>
                <w:rFonts w:eastAsia="仿宋_GB2312"/>
                <w:sz w:val="24"/>
                <w:szCs w:val="24"/>
                <w:lang w:val="zh-CN"/>
              </w:rPr>
            </w:pP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4</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年龄</w:t>
            </w:r>
          </w:p>
        </w:tc>
        <w:tc>
          <w:tcPr>
            <w:tcW w:w="461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35周岁以下（含35周岁，10分）；36至45周岁（5分）。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市公安局</w:t>
            </w:r>
          </w:p>
        </w:tc>
        <w:tc>
          <w:tcPr>
            <w:tcW w:w="6117" w:type="dxa"/>
            <w:noWrap w:val="0"/>
            <w:vAlign w:val="center"/>
          </w:tcPr>
          <w:p>
            <w:pPr>
              <w:autoSpaceDE w:val="0"/>
              <w:autoSpaceDN w:val="0"/>
              <w:adjustRightInd w:val="0"/>
              <w:snapToGrid w:val="0"/>
              <w:spacing w:line="0" w:lineRule="atLeast"/>
              <w:rPr>
                <w:rFonts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851" w:type="dxa"/>
            <w:vMerge w:val="continue"/>
            <w:noWrap w:val="0"/>
            <w:vAlign w:val="center"/>
          </w:tcPr>
          <w:p>
            <w:pPr>
              <w:autoSpaceDE w:val="0"/>
              <w:autoSpaceDN w:val="0"/>
              <w:adjustRightInd w:val="0"/>
              <w:snapToGrid w:val="0"/>
              <w:spacing w:line="0" w:lineRule="atLeast"/>
              <w:jc w:val="center"/>
              <w:rPr>
                <w:rFonts w:eastAsia="仿宋_GB2312"/>
                <w:sz w:val="24"/>
                <w:szCs w:val="24"/>
                <w:lang w:val="zh-CN"/>
              </w:rPr>
            </w:pP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5</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受教育程度</w:t>
            </w:r>
          </w:p>
        </w:tc>
        <w:tc>
          <w:tcPr>
            <w:tcW w:w="461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本科及以上学历（20分）；大专学历（10分）。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市教委</w:t>
            </w:r>
          </w:p>
        </w:tc>
        <w:tc>
          <w:tcPr>
            <w:tcW w:w="6117"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只计最高分，不累计加分。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51" w:type="dxa"/>
            <w:vMerge w:val="continue"/>
            <w:noWrap w:val="0"/>
            <w:vAlign w:val="center"/>
          </w:tcPr>
          <w:p>
            <w:pPr>
              <w:autoSpaceDE w:val="0"/>
              <w:autoSpaceDN w:val="0"/>
              <w:adjustRightInd w:val="0"/>
              <w:snapToGrid w:val="0"/>
              <w:spacing w:line="0" w:lineRule="atLeast"/>
              <w:jc w:val="center"/>
              <w:rPr>
                <w:rFonts w:eastAsia="仿宋_GB2312"/>
                <w:sz w:val="24"/>
                <w:szCs w:val="24"/>
                <w:lang w:val="zh-CN"/>
              </w:rPr>
            </w:pP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6</w:t>
            </w:r>
          </w:p>
        </w:tc>
        <w:tc>
          <w:tcPr>
            <w:tcW w:w="1406"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专业技术人员职业资格、技能人员职业技能水平</w:t>
            </w:r>
          </w:p>
        </w:tc>
        <w:tc>
          <w:tcPr>
            <w:tcW w:w="461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1．对应高级职称的专业技术人员职业资格（30分）；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2．对应中级职称的专业技术人员职业资格（20分）；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3．对应初级职称的专业技术人员职业资格（15分）；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4．高级技师（30分）；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5．技师（20分）；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6．高级工（15分）；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7．中级工（10分）；</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8．初级工（5分）。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市人社局</w:t>
            </w:r>
          </w:p>
        </w:tc>
        <w:tc>
          <w:tcPr>
            <w:tcW w:w="6117" w:type="dxa"/>
            <w:noWrap w:val="0"/>
            <w:vAlign w:val="center"/>
          </w:tcPr>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1．只计最高分，不累计加分。</w:t>
            </w:r>
          </w:p>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2．专业技术人员职业资格指标，是指申请人通过参加全国统一考试取得专业技术人员职业资格证书情况。申请人提交的对应职称的专业技术人员职业资格证书，须经</w:t>
            </w:r>
            <w:r>
              <w:rPr>
                <w:rFonts w:hint="eastAsia" w:eastAsia="仿宋_GB2312"/>
                <w:sz w:val="24"/>
                <w:szCs w:val="24"/>
                <w:lang w:val="zh-CN"/>
              </w:rPr>
              <w:t>人力资源社会保障部</w:t>
            </w:r>
            <w:r>
              <w:rPr>
                <w:rFonts w:eastAsia="仿宋_GB2312"/>
                <w:sz w:val="24"/>
                <w:szCs w:val="24"/>
                <w:lang w:val="zh-CN"/>
              </w:rPr>
              <w:t>人事考试权威网站确认真实有效且类别与本人当前工作岗位相一致。</w:t>
            </w:r>
          </w:p>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3．申请人提交的国家职业资格证书或</w:t>
            </w:r>
            <w:r>
              <w:rPr>
                <w:rFonts w:eastAsia="仿宋_GB2312"/>
                <w:sz w:val="24"/>
                <w:szCs w:val="24"/>
                <w:lang w:val="en"/>
              </w:rPr>
              <w:t>在</w:t>
            </w:r>
            <w:r>
              <w:rPr>
                <w:rFonts w:hint="eastAsia" w:eastAsia="仿宋_GB2312"/>
                <w:sz w:val="24"/>
                <w:szCs w:val="24"/>
                <w:lang w:val="en"/>
              </w:rPr>
              <w:t>本市</w:t>
            </w:r>
            <w:r>
              <w:rPr>
                <w:rFonts w:eastAsia="仿宋_GB2312"/>
                <w:sz w:val="24"/>
                <w:szCs w:val="24"/>
                <w:lang w:val="en"/>
              </w:rPr>
              <w:t>取得</w:t>
            </w:r>
            <w:r>
              <w:rPr>
                <w:rFonts w:eastAsia="仿宋_GB2312"/>
                <w:sz w:val="24"/>
                <w:szCs w:val="24"/>
                <w:lang w:val="zh-CN"/>
              </w:rPr>
              <w:t>技能等级证书须经</w:t>
            </w:r>
            <w:r>
              <w:rPr>
                <w:rFonts w:hint="eastAsia" w:eastAsia="仿宋_GB2312"/>
                <w:sz w:val="24"/>
                <w:szCs w:val="24"/>
                <w:lang w:val="zh-CN"/>
              </w:rPr>
              <w:t>人力资源社会保障部</w:t>
            </w:r>
            <w:r>
              <w:rPr>
                <w:rFonts w:eastAsia="仿宋_GB2312"/>
                <w:sz w:val="24"/>
                <w:szCs w:val="24"/>
                <w:lang w:val="zh-CN"/>
              </w:rPr>
              <w:t>权威网站确认，职业（工种）对应市人社局公布的</w:t>
            </w:r>
            <w:r>
              <w:rPr>
                <w:rFonts w:hint="eastAsia" w:eastAsia="仿宋_GB2312"/>
                <w:sz w:val="24"/>
                <w:szCs w:val="24"/>
                <w:lang w:val="zh-CN"/>
              </w:rPr>
              <w:t>天津市</w:t>
            </w:r>
            <w:r>
              <w:rPr>
                <w:rFonts w:eastAsia="仿宋_GB2312"/>
                <w:sz w:val="24"/>
                <w:szCs w:val="24"/>
                <w:lang w:val="zh-CN"/>
              </w:rPr>
              <w:t>年度职业市场需求程度及培训成本目录，且与所在用人单位所属行业、经营范围、本人当前工作岗位一致。受理</w:t>
            </w:r>
            <w:r>
              <w:rPr>
                <w:rFonts w:eastAsia="仿宋_GB2312"/>
                <w:sz w:val="24"/>
                <w:szCs w:val="24"/>
                <w:lang w:val="en"/>
              </w:rPr>
              <w:t>期间目录调整的</w:t>
            </w:r>
            <w:r>
              <w:rPr>
                <w:rFonts w:hint="eastAsia" w:eastAsia="仿宋_GB2312"/>
                <w:sz w:val="24"/>
                <w:szCs w:val="24"/>
                <w:lang w:val="zh-CN"/>
              </w:rPr>
              <w:t>，</w:t>
            </w:r>
            <w:r>
              <w:rPr>
                <w:rFonts w:eastAsia="仿宋_GB2312"/>
                <w:sz w:val="24"/>
                <w:szCs w:val="24"/>
                <w:lang w:val="zh-CN"/>
              </w:rPr>
              <w:t>以</w:t>
            </w:r>
            <w:r>
              <w:rPr>
                <w:rFonts w:hint="eastAsia" w:eastAsia="仿宋_GB2312"/>
                <w:sz w:val="24"/>
                <w:szCs w:val="24"/>
                <w:lang w:val="en" w:eastAsia="zh-CN"/>
              </w:rPr>
              <w:t>上年度</w:t>
            </w:r>
            <w:r>
              <w:rPr>
                <w:rFonts w:eastAsia="仿宋_GB2312"/>
                <w:sz w:val="24"/>
                <w:szCs w:val="24"/>
                <w:lang w:val="zh-CN"/>
              </w:rPr>
              <w:t>公布的目录为准。</w:t>
            </w:r>
          </w:p>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4．提交的证书发证时间，上半年申请的以上年12月31日为截止日期，下半年申请的以当年6月30日为截止日期。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导</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向</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分</w:t>
            </w: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7</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职业</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（工种）</w:t>
            </w:r>
          </w:p>
        </w:tc>
        <w:tc>
          <w:tcPr>
            <w:tcW w:w="461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非常紧缺职业（25分）；紧缺职业（15分）；一般紧缺职业（10分）。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市人社局</w:t>
            </w:r>
          </w:p>
        </w:tc>
        <w:tc>
          <w:tcPr>
            <w:tcW w:w="6117" w:type="dxa"/>
            <w:noWrap w:val="0"/>
            <w:vAlign w:val="center"/>
          </w:tcPr>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1．申请人提交的国家职业资格证书或</w:t>
            </w:r>
            <w:r>
              <w:rPr>
                <w:rFonts w:hint="eastAsia" w:eastAsia="仿宋_GB2312"/>
                <w:sz w:val="24"/>
                <w:szCs w:val="24"/>
                <w:lang w:val="zh-CN"/>
              </w:rPr>
              <w:t>在本市取得</w:t>
            </w:r>
            <w:r>
              <w:rPr>
                <w:rFonts w:eastAsia="仿宋_GB2312"/>
                <w:sz w:val="24"/>
                <w:szCs w:val="24"/>
                <w:lang w:val="zh-CN"/>
              </w:rPr>
              <w:t>技能等级证书须经</w:t>
            </w:r>
            <w:r>
              <w:rPr>
                <w:rFonts w:hint="eastAsia" w:eastAsia="仿宋_GB2312"/>
                <w:sz w:val="24"/>
                <w:szCs w:val="24"/>
              </w:rPr>
              <w:t>人力资源</w:t>
            </w:r>
            <w:r>
              <w:rPr>
                <w:rFonts w:hint="eastAsia" w:eastAsia="仿宋_GB2312"/>
                <w:sz w:val="24"/>
                <w:szCs w:val="24"/>
                <w:lang w:val="zh-CN"/>
              </w:rPr>
              <w:t>社会保障部</w:t>
            </w:r>
            <w:r>
              <w:rPr>
                <w:rFonts w:eastAsia="仿宋_GB2312"/>
                <w:sz w:val="24"/>
                <w:szCs w:val="24"/>
                <w:lang w:val="zh-CN"/>
              </w:rPr>
              <w:t>权威网站确认，职业（工种）及紧缺程度对应市人社局公布的</w:t>
            </w:r>
            <w:r>
              <w:rPr>
                <w:rFonts w:hint="eastAsia" w:eastAsia="仿宋_GB2312"/>
                <w:sz w:val="24"/>
                <w:szCs w:val="24"/>
                <w:lang w:val="zh-CN"/>
              </w:rPr>
              <w:t>天津市</w:t>
            </w:r>
            <w:r>
              <w:rPr>
                <w:rFonts w:eastAsia="仿宋_GB2312"/>
                <w:sz w:val="24"/>
                <w:szCs w:val="24"/>
                <w:lang w:val="zh-CN"/>
              </w:rPr>
              <w:t>年度职业市场需求程度及培训成本目录，且与所在用人单位所属行业、经营范围、本人当前工作岗位一致。</w:t>
            </w:r>
            <w:r>
              <w:rPr>
                <w:rFonts w:hint="eastAsia" w:eastAsia="仿宋_GB2312"/>
                <w:sz w:val="24"/>
                <w:szCs w:val="24"/>
                <w:lang w:val="zh-CN"/>
              </w:rPr>
              <w:t>受理期间目录调整的，以上年度</w:t>
            </w:r>
            <w:r>
              <w:rPr>
                <w:rFonts w:eastAsia="仿宋_GB2312"/>
                <w:sz w:val="24"/>
                <w:szCs w:val="24"/>
                <w:lang w:val="zh-CN"/>
              </w:rPr>
              <w:t>公布的目录为准。</w:t>
            </w:r>
          </w:p>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2．提交的证书发证时间，上半年申请的以上年12月31日为截止日期，下半年申请的以当年6月30日为截止日期。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vMerge w:val="restart"/>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附</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加</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分</w:t>
            </w: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8</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婚姻情况</w:t>
            </w:r>
          </w:p>
        </w:tc>
        <w:tc>
          <w:tcPr>
            <w:tcW w:w="4610" w:type="dxa"/>
            <w:noWrap w:val="0"/>
            <w:vAlign w:val="center"/>
          </w:tcPr>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已婚，且夫妻双方均</w:t>
            </w:r>
            <w:r>
              <w:rPr>
                <w:rFonts w:hint="eastAsia" w:eastAsia="仿宋_GB2312"/>
                <w:sz w:val="24"/>
                <w:szCs w:val="24"/>
                <w:lang w:val="zh-CN"/>
              </w:rPr>
              <w:t>为本市在职职工</w:t>
            </w:r>
            <w:r>
              <w:rPr>
                <w:rFonts w:eastAsia="仿宋_GB2312"/>
                <w:sz w:val="24"/>
                <w:szCs w:val="24"/>
                <w:lang w:val="zh-CN"/>
              </w:rPr>
              <w:t>，积分申请人配偶在用人单位依法缴纳社会保险累计满24个月（20分）。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市民政局</w:t>
            </w:r>
            <w:r>
              <w:rPr>
                <w:rFonts w:hint="eastAsia" w:eastAsia="仿宋_GB2312"/>
                <w:sz w:val="24"/>
                <w:szCs w:val="24"/>
                <w:lang w:val="zh-CN"/>
              </w:rPr>
              <w:t>、</w:t>
            </w:r>
          </w:p>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市人社局</w:t>
            </w:r>
          </w:p>
        </w:tc>
        <w:tc>
          <w:tcPr>
            <w:tcW w:w="6117" w:type="dxa"/>
            <w:noWrap w:val="0"/>
            <w:vAlign w:val="center"/>
          </w:tcPr>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1．申请人配偶补缴社会保险费年限</w:t>
            </w:r>
            <w:r>
              <w:rPr>
                <w:rFonts w:hint="eastAsia" w:eastAsia="仿宋_GB2312"/>
                <w:sz w:val="24"/>
                <w:szCs w:val="24"/>
                <w:lang w:val="zh-CN"/>
              </w:rPr>
              <w:t>、异地转入的外省市社会保险缴费年限和灵活就业人员</w:t>
            </w:r>
            <w:r>
              <w:rPr>
                <w:rFonts w:eastAsia="仿宋_GB2312"/>
                <w:sz w:val="24"/>
                <w:szCs w:val="24"/>
                <w:lang w:val="zh-CN"/>
              </w:rPr>
              <w:t>个人缴纳社会保险费的年限不予计算积分。</w:t>
            </w:r>
          </w:p>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2．计算积分的时间，上半年申请的以上年12月31日为截止日期，下半年申请的以当年6月30日为截止日期。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851" w:type="dxa"/>
            <w:vMerge w:val="continue"/>
            <w:noWrap w:val="0"/>
            <w:vAlign w:val="center"/>
          </w:tcPr>
          <w:p>
            <w:pPr>
              <w:autoSpaceDE w:val="0"/>
              <w:autoSpaceDN w:val="0"/>
              <w:adjustRightInd w:val="0"/>
              <w:snapToGrid w:val="0"/>
              <w:spacing w:line="0" w:lineRule="atLeast"/>
              <w:jc w:val="center"/>
              <w:rPr>
                <w:rFonts w:eastAsia="仿宋_GB2312"/>
                <w:sz w:val="24"/>
                <w:szCs w:val="24"/>
                <w:lang w:val="zh-CN"/>
              </w:rPr>
            </w:pP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9</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奖项</w:t>
            </w:r>
          </w:p>
        </w:tc>
        <w:tc>
          <w:tcPr>
            <w:tcW w:w="4610" w:type="dxa"/>
            <w:noWrap w:val="0"/>
            <w:vAlign w:val="center"/>
          </w:tcPr>
          <w:p>
            <w:pPr>
              <w:autoSpaceDE w:val="0"/>
              <w:autoSpaceDN w:val="0"/>
              <w:adjustRightInd w:val="0"/>
              <w:snapToGrid w:val="0"/>
              <w:spacing w:line="300" w:lineRule="exact"/>
              <w:rPr>
                <w:rFonts w:eastAsia="仿宋_GB2312"/>
                <w:sz w:val="24"/>
                <w:szCs w:val="24"/>
                <w:lang w:val="zh-CN"/>
              </w:rPr>
            </w:pPr>
            <w:r>
              <w:rPr>
                <w:rFonts w:eastAsia="仿宋_GB2312"/>
                <w:sz w:val="24"/>
                <w:szCs w:val="24"/>
                <w:lang w:val="zh-CN"/>
              </w:rPr>
              <w:t>获得国家级技能大赛一类竞赛前20名、二类竞赛前15名（30分）；获得省级技能竞赛一类竞赛前10名、二类竞赛前6名（20分）。</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市人社局</w:t>
            </w:r>
          </w:p>
        </w:tc>
        <w:tc>
          <w:tcPr>
            <w:tcW w:w="6117"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只计最高分，不累计加分。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7" w:hRule="atLeast"/>
          <w:jc w:val="center"/>
        </w:trPr>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负</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积</w:t>
            </w:r>
          </w:p>
          <w:p>
            <w:pPr>
              <w:autoSpaceDE w:val="0"/>
              <w:autoSpaceDN w:val="0"/>
              <w:adjustRightInd w:val="0"/>
              <w:snapToGrid w:val="0"/>
              <w:spacing w:line="0" w:lineRule="atLeast"/>
              <w:jc w:val="center"/>
              <w:rPr>
                <w:rFonts w:eastAsia="仿宋_GB2312"/>
                <w:sz w:val="28"/>
                <w:szCs w:val="28"/>
                <w:lang w:val="zh-CN"/>
              </w:rPr>
            </w:pPr>
            <w:r>
              <w:rPr>
                <w:rFonts w:eastAsia="仿宋_GB2312"/>
                <w:sz w:val="24"/>
                <w:szCs w:val="24"/>
                <w:lang w:val="zh-CN"/>
              </w:rPr>
              <w:t>分</w:t>
            </w:r>
          </w:p>
        </w:tc>
        <w:tc>
          <w:tcPr>
            <w:tcW w:w="851"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10</w:t>
            </w:r>
          </w:p>
        </w:tc>
        <w:tc>
          <w:tcPr>
            <w:tcW w:w="1406" w:type="dxa"/>
            <w:noWrap w:val="0"/>
            <w:vAlign w:val="center"/>
          </w:tcPr>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违法违规</w:t>
            </w:r>
          </w:p>
          <w:p>
            <w:pPr>
              <w:autoSpaceDE w:val="0"/>
              <w:autoSpaceDN w:val="0"/>
              <w:adjustRightInd w:val="0"/>
              <w:snapToGrid w:val="0"/>
              <w:spacing w:line="0" w:lineRule="atLeast"/>
              <w:jc w:val="center"/>
              <w:rPr>
                <w:rFonts w:eastAsia="仿宋_GB2312"/>
                <w:sz w:val="24"/>
                <w:szCs w:val="24"/>
                <w:lang w:val="zh-CN"/>
              </w:rPr>
            </w:pPr>
            <w:r>
              <w:rPr>
                <w:rFonts w:eastAsia="仿宋_GB2312"/>
                <w:sz w:val="24"/>
                <w:szCs w:val="24"/>
                <w:lang w:val="zh-CN"/>
              </w:rPr>
              <w:t>与犯罪</w:t>
            </w:r>
          </w:p>
        </w:tc>
        <w:tc>
          <w:tcPr>
            <w:tcW w:w="4610" w:type="dxa"/>
            <w:noWrap w:val="0"/>
            <w:vAlign w:val="center"/>
          </w:tcPr>
          <w:p>
            <w:pPr>
              <w:autoSpaceDE w:val="0"/>
              <w:autoSpaceDN w:val="0"/>
              <w:adjustRightInd w:val="0"/>
              <w:snapToGrid w:val="0"/>
              <w:spacing w:line="260" w:lineRule="exact"/>
              <w:rPr>
                <w:rFonts w:eastAsia="仿宋_GB2312"/>
                <w:sz w:val="24"/>
                <w:szCs w:val="24"/>
                <w:lang w:val="zh-CN"/>
              </w:rPr>
            </w:pPr>
            <w:r>
              <w:rPr>
                <w:rFonts w:eastAsia="仿宋_GB2312"/>
                <w:sz w:val="24"/>
                <w:szCs w:val="24"/>
                <w:lang w:val="zh-CN"/>
              </w:rPr>
              <w:t>5年内有提供虚假信息办理</w:t>
            </w:r>
            <w:r>
              <w:rPr>
                <w:rFonts w:hint="eastAsia" w:eastAsia="仿宋_GB2312"/>
                <w:sz w:val="24"/>
                <w:szCs w:val="24"/>
                <w:lang w:val="zh-CN"/>
              </w:rPr>
              <w:t>相关</w:t>
            </w:r>
            <w:r>
              <w:rPr>
                <w:rFonts w:eastAsia="仿宋_GB2312"/>
                <w:sz w:val="24"/>
                <w:szCs w:val="24"/>
                <w:lang w:val="zh-CN"/>
              </w:rPr>
              <w:t>证书、证明或申办积分落户记录的（包括虚假户籍、学历、专业、就业、住房、纳税证明、购房证明材料等），每条减30分；5年内有刑事犯罪记录的，每条减100分</w:t>
            </w:r>
            <w:r>
              <w:rPr>
                <w:rFonts w:hint="eastAsia" w:eastAsia="仿宋_GB2312"/>
                <w:sz w:val="24"/>
                <w:szCs w:val="24"/>
                <w:lang w:val="zh-CN"/>
              </w:rPr>
              <w:t>。</w:t>
            </w:r>
          </w:p>
          <w:p>
            <w:pPr>
              <w:autoSpaceDE w:val="0"/>
              <w:autoSpaceDN w:val="0"/>
              <w:adjustRightInd w:val="0"/>
              <w:snapToGrid w:val="0"/>
              <w:spacing w:line="260" w:lineRule="exact"/>
              <w:rPr>
                <w:rFonts w:eastAsia="仿宋_GB2312"/>
                <w:sz w:val="24"/>
                <w:szCs w:val="24"/>
                <w:lang w:val="zh-CN"/>
              </w:rPr>
            </w:pPr>
            <w:r>
              <w:rPr>
                <w:rFonts w:eastAsia="仿宋_GB2312"/>
                <w:sz w:val="24"/>
                <w:szCs w:val="24"/>
                <w:lang w:val="zh-CN"/>
              </w:rPr>
              <w:t>用人单位</w:t>
            </w:r>
            <w:r>
              <w:rPr>
                <w:rFonts w:hint="eastAsia" w:eastAsia="仿宋_GB2312"/>
                <w:sz w:val="24"/>
                <w:szCs w:val="24"/>
                <w:lang w:val="zh-CN"/>
              </w:rPr>
              <w:t>为申请人提供虚假信息申办积分落户的，取消该单位自下一申报期起</w:t>
            </w:r>
            <w:r>
              <w:rPr>
                <w:rFonts w:hint="eastAsia" w:eastAsia="仿宋_GB2312"/>
                <w:sz w:val="24"/>
                <w:szCs w:val="24"/>
              </w:rPr>
              <w:t>1</w:t>
            </w:r>
            <w:r>
              <w:rPr>
                <w:rFonts w:hint="eastAsia" w:eastAsia="仿宋_GB2312"/>
                <w:sz w:val="24"/>
                <w:szCs w:val="24"/>
                <w:lang w:val="zh-CN"/>
              </w:rPr>
              <w:t>年内申报资格，情节严重的取消该单位自下一申报期起</w:t>
            </w:r>
            <w:r>
              <w:rPr>
                <w:rFonts w:hint="eastAsia" w:eastAsia="仿宋_GB2312"/>
                <w:sz w:val="24"/>
                <w:szCs w:val="24"/>
              </w:rPr>
              <w:t>3</w:t>
            </w:r>
            <w:r>
              <w:rPr>
                <w:rFonts w:hint="eastAsia" w:eastAsia="仿宋_GB2312"/>
                <w:sz w:val="24"/>
                <w:szCs w:val="24"/>
                <w:lang w:val="zh-CN"/>
              </w:rPr>
              <w:t>年内申报资格。</w:t>
            </w:r>
          </w:p>
        </w:tc>
        <w:tc>
          <w:tcPr>
            <w:tcW w:w="1350"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市公安局</w:t>
            </w:r>
            <w:r>
              <w:rPr>
                <w:rFonts w:hint="eastAsia" w:eastAsia="仿宋_GB2312"/>
                <w:sz w:val="24"/>
                <w:szCs w:val="24"/>
                <w:lang w:val="zh-CN"/>
              </w:rPr>
              <w:t>、</w:t>
            </w:r>
            <w:r>
              <w:rPr>
                <w:rFonts w:eastAsia="仿宋_GB2312"/>
                <w:sz w:val="24"/>
                <w:szCs w:val="24"/>
                <w:lang w:val="zh-CN"/>
              </w:rPr>
              <w:t>市人社局</w:t>
            </w:r>
            <w:r>
              <w:rPr>
                <w:rFonts w:hint="eastAsia" w:eastAsia="仿宋_GB2312"/>
                <w:sz w:val="24"/>
                <w:szCs w:val="24"/>
                <w:lang w:val="zh-CN"/>
              </w:rPr>
              <w:t>、</w:t>
            </w:r>
            <w:r>
              <w:rPr>
                <w:rFonts w:eastAsia="仿宋_GB2312"/>
                <w:sz w:val="24"/>
                <w:szCs w:val="24"/>
                <w:lang w:val="zh-CN"/>
              </w:rPr>
              <w:t>市教委</w:t>
            </w:r>
            <w:r>
              <w:rPr>
                <w:rFonts w:hint="eastAsia" w:eastAsia="仿宋_GB2312"/>
                <w:sz w:val="24"/>
                <w:szCs w:val="24"/>
                <w:lang w:val="zh-CN"/>
              </w:rPr>
              <w:t>、</w:t>
            </w:r>
            <w:r>
              <w:rPr>
                <w:rFonts w:eastAsia="仿宋_GB2312"/>
                <w:sz w:val="24"/>
                <w:szCs w:val="24"/>
                <w:lang w:val="zh-CN"/>
              </w:rPr>
              <w:t>市住房城乡建设委等部门</w:t>
            </w:r>
          </w:p>
        </w:tc>
        <w:tc>
          <w:tcPr>
            <w:tcW w:w="6117" w:type="dxa"/>
            <w:noWrap w:val="0"/>
            <w:vAlign w:val="center"/>
          </w:tcPr>
          <w:p>
            <w:pPr>
              <w:autoSpaceDE w:val="0"/>
              <w:autoSpaceDN w:val="0"/>
              <w:adjustRightInd w:val="0"/>
              <w:snapToGrid w:val="0"/>
              <w:spacing w:line="0" w:lineRule="atLeast"/>
              <w:rPr>
                <w:rFonts w:eastAsia="仿宋_GB2312"/>
                <w:sz w:val="24"/>
                <w:szCs w:val="24"/>
                <w:lang w:val="zh-CN"/>
              </w:rPr>
            </w:pPr>
            <w:r>
              <w:rPr>
                <w:rFonts w:eastAsia="仿宋_GB2312"/>
                <w:sz w:val="24"/>
                <w:szCs w:val="24"/>
                <w:lang w:val="zh-CN"/>
              </w:rPr>
              <w:t>可分项累计减分。</w:t>
            </w:r>
          </w:p>
        </w:tc>
      </w:tr>
    </w:tbl>
    <w:p>
      <w:pPr>
        <w:wordWrap w:val="0"/>
        <w:snapToGrid w:val="0"/>
        <w:spacing w:line="220" w:lineRule="atLeast"/>
        <w:ind w:left="-9" w:leftChars="-398" w:hanging="826" w:hangingChars="295"/>
      </w:pPr>
      <w:r>
        <w:rPr>
          <w:rFonts w:hint="eastAsia" w:eastAsia="楷体_GB2312" w:cs="楷体_GB2312"/>
          <w:sz w:val="28"/>
          <w:szCs w:val="28"/>
        </w:rPr>
        <w:t>注：申报指导分值为110分，可随居住证积分指标体系进行调整。</w:t>
      </w:r>
    </w:p>
    <w:p>
      <w:pPr>
        <w:spacing w:line="580" w:lineRule="exact"/>
        <w:ind w:right="26"/>
        <w:rPr>
          <w:rFonts w:eastAsia="黑体"/>
          <w:sz w:val="28"/>
        </w:rPr>
        <w:sectPr>
          <w:pgSz w:w="16838" w:h="11906" w:orient="landscape"/>
          <w:pgMar w:top="1474" w:right="1814" w:bottom="1474" w:left="2041" w:header="851" w:footer="1474" w:gutter="0"/>
          <w:pgNumType w:fmt="numberInDash"/>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F31B9"/>
    <w:rsid w:val="7DDF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2021-12-31T10:44:00Z</dcterms:created>
  <dc:creator>李萱</dc:creator>
  <cp:lastModifiedBy>李萱</cp:lastModifiedBy>
  <dcterms:modified xsi:type="dcterms:W3CDTF">2021-12-31T10:44:57Z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505B714F599548D695270993073F5E70</vt:lpwstr>
  </property>
</Properties>
</file>