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sz w:val="40"/>
          <w:szCs w:val="40"/>
        </w:rPr>
      </w:pPr>
    </w:p>
    <w:p>
      <w:pPr>
        <w:spacing w:line="540" w:lineRule="exact"/>
        <w:jc w:val="center"/>
        <w:rPr>
          <w:rFonts w:eastAsia="方正小标宋_GBK"/>
          <w:w w:val="40"/>
          <w:sz w:val="40"/>
          <w:szCs w:val="40"/>
        </w:rPr>
      </w:pPr>
    </w:p>
    <w:p>
      <w:pPr>
        <w:spacing w:line="540" w:lineRule="exact"/>
        <w:jc w:val="center"/>
        <w:rPr>
          <w:rFonts w:eastAsia="方正小标宋_GBK"/>
        </w:rPr>
      </w:pPr>
    </w:p>
    <w:p>
      <w:pPr>
        <w:pStyle w:val="2"/>
      </w:pPr>
    </w:p>
    <w:p>
      <w:pPr>
        <w:spacing w:line="80" w:lineRule="exact"/>
        <w:jc w:val="center"/>
        <w:rPr>
          <w:rFonts w:eastAsia="方正仿宋简体"/>
          <w:sz w:val="34"/>
          <w:szCs w:val="34"/>
        </w:rPr>
      </w:pPr>
    </w:p>
    <w:p>
      <w:pPr>
        <w:spacing w:line="600" w:lineRule="exact"/>
        <w:jc w:val="center"/>
        <w:rPr>
          <w:rFonts w:ascii="Times New Roman" w:hAnsi="Times New Roman" w:eastAsia="方正小标宋_GBK" w:cs="Times New Roman"/>
          <w:sz w:val="32"/>
          <w:szCs w:val="32"/>
        </w:rPr>
      </w:pPr>
    </w:p>
    <w:p>
      <w:pPr>
        <w:spacing w:line="80" w:lineRule="exact"/>
        <w:jc w:val="center"/>
        <w:rPr>
          <w:rFonts w:ascii="Times New Roman" w:hAnsi="Times New Roman" w:eastAsia="方正仿宋简体" w:cs="Times New Roman"/>
          <w:sz w:val="34"/>
          <w:szCs w:val="34"/>
        </w:rPr>
      </w:pP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rPr>
        <w:t xml:space="preserve">重庆市医疗保障局 </w:t>
      </w:r>
      <w:r>
        <w:rPr>
          <w:rFonts w:hint="eastAsia" w:ascii="方正小标宋_GBK" w:hAnsi="方正小标宋_GBK" w:eastAsia="方正小标宋_GBK" w:cs="方正小标宋_GBK"/>
          <w:sz w:val="44"/>
          <w:szCs w:val="44"/>
          <w:u w:val="none"/>
          <w:lang w:eastAsia="zh-CN"/>
        </w:rPr>
        <w:t>成都</w:t>
      </w:r>
      <w:r>
        <w:rPr>
          <w:rFonts w:hint="eastAsia" w:ascii="方正小标宋_GBK" w:hAnsi="方正小标宋_GBK" w:eastAsia="方正小标宋_GBK" w:cs="方正小标宋_GBK"/>
          <w:sz w:val="44"/>
          <w:szCs w:val="44"/>
          <w:u w:val="none"/>
        </w:rPr>
        <w:t>市医疗保障局</w:t>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u w:val="none"/>
          <w:lang w:eastAsia="zh-CN"/>
        </w:rPr>
      </w:pPr>
      <w:r>
        <w:rPr>
          <w:rFonts w:hint="eastAsia" w:ascii="方正小标宋_GBK" w:hAnsi="方正小标宋_GBK" w:eastAsia="方正小标宋_GBK" w:cs="方正小标宋_GBK"/>
          <w:sz w:val="44"/>
          <w:szCs w:val="44"/>
          <w:u w:val="none"/>
        </w:rPr>
        <w:t>关于印发《成渝</w:t>
      </w:r>
      <w:r>
        <w:rPr>
          <w:rFonts w:hint="eastAsia" w:ascii="方正小标宋_GBK" w:hAnsi="方正小标宋_GBK" w:eastAsia="方正小标宋_GBK" w:cs="方正小标宋_GBK"/>
          <w:sz w:val="44"/>
          <w:szCs w:val="44"/>
          <w:u w:val="none"/>
          <w:lang w:eastAsia="zh-CN"/>
        </w:rPr>
        <w:t>两地</w:t>
      </w:r>
      <w:r>
        <w:rPr>
          <w:rFonts w:hint="eastAsia" w:ascii="方正小标宋_GBK" w:hAnsi="方正小标宋_GBK" w:eastAsia="方正小标宋_GBK" w:cs="方正小标宋_GBK"/>
          <w:sz w:val="44"/>
          <w:szCs w:val="44"/>
          <w:u w:val="none"/>
        </w:rPr>
        <w:t>职工基本医疗保险</w:t>
      </w:r>
      <w:r>
        <w:rPr>
          <w:rFonts w:hint="eastAsia" w:ascii="方正小标宋_GBK" w:hAnsi="方正小标宋_GBK" w:eastAsia="方正小标宋_GBK" w:cs="方正小标宋_GBK"/>
          <w:sz w:val="44"/>
          <w:szCs w:val="44"/>
          <w:u w:val="none"/>
          <w:lang w:eastAsia="zh-CN"/>
        </w:rPr>
        <w:t>缴费</w:t>
      </w:r>
    </w:p>
    <w:p>
      <w:pPr>
        <w:keepNext w:val="0"/>
        <w:keepLines w:val="0"/>
        <w:pageBreakBefore w:val="0"/>
        <w:widowControl w:val="0"/>
        <w:kinsoku/>
        <w:wordWrap/>
        <w:overflowPunct w:val="0"/>
        <w:topLinePunct w:val="0"/>
        <w:autoSpaceDE/>
        <w:autoSpaceDN/>
        <w:bidi w:val="0"/>
        <w:adjustRightInd/>
        <w:snapToGrid/>
        <w:spacing w:line="620" w:lineRule="exact"/>
        <w:jc w:val="center"/>
        <w:textAlignment w:val="auto"/>
        <w:rPr>
          <w:rFonts w:hint="eastAsia" w:ascii="方正小标宋_GBK" w:hAnsi="方正小标宋_GBK" w:eastAsia="方正小标宋_GBK" w:cs="方正小标宋_GBK"/>
          <w:sz w:val="44"/>
          <w:szCs w:val="44"/>
          <w:u w:val="none"/>
        </w:rPr>
      </w:pPr>
      <w:r>
        <w:rPr>
          <w:rFonts w:hint="eastAsia" w:ascii="方正小标宋_GBK" w:hAnsi="方正小标宋_GBK" w:eastAsia="方正小标宋_GBK" w:cs="方正小标宋_GBK"/>
          <w:sz w:val="44"/>
          <w:szCs w:val="44"/>
          <w:u w:val="none"/>
          <w:lang w:eastAsia="zh-CN"/>
        </w:rPr>
        <w:t>年限互认管理</w:t>
      </w:r>
      <w:r>
        <w:rPr>
          <w:rFonts w:hint="eastAsia" w:ascii="方正小标宋_GBK" w:hAnsi="方正小标宋_GBK" w:eastAsia="方正小标宋_GBK" w:cs="方正小标宋_GBK"/>
          <w:sz w:val="44"/>
          <w:szCs w:val="44"/>
          <w:u w:val="none"/>
        </w:rPr>
        <w:t>办法</w:t>
      </w:r>
      <w:r>
        <w:rPr>
          <w:rFonts w:hint="eastAsia" w:ascii="方正小标宋_GBK" w:hAnsi="方正小标宋_GBK" w:eastAsia="方正小标宋_GBK" w:cs="方正小标宋_GBK"/>
          <w:sz w:val="44"/>
          <w:szCs w:val="44"/>
          <w:u w:val="none"/>
          <w:lang w:eastAsia="zh-CN"/>
        </w:rPr>
        <w:t>（</w:t>
      </w:r>
      <w:r>
        <w:rPr>
          <w:rFonts w:hint="eastAsia" w:ascii="方正小标宋_GBK" w:hAnsi="方正小标宋_GBK" w:eastAsia="方正小标宋_GBK" w:cs="方正小标宋_GBK"/>
          <w:sz w:val="44"/>
          <w:szCs w:val="44"/>
          <w:u w:val="none"/>
          <w:lang w:val="en-US" w:eastAsia="zh-CN"/>
        </w:rPr>
        <w:t>暂行</w:t>
      </w:r>
      <w:r>
        <w:rPr>
          <w:rFonts w:hint="eastAsia" w:ascii="方正小标宋_GBK" w:hAnsi="方正小标宋_GBK" w:eastAsia="方正小标宋_GBK" w:cs="方正小标宋_GBK"/>
          <w:sz w:val="44"/>
          <w:szCs w:val="44"/>
          <w:u w:val="none"/>
          <w:lang w:eastAsia="zh-CN"/>
        </w:rPr>
        <w:t>）</w:t>
      </w:r>
      <w:r>
        <w:rPr>
          <w:rFonts w:hint="eastAsia" w:ascii="方正小标宋_GBK" w:hAnsi="方正小标宋_GBK" w:eastAsia="方正小标宋_GBK" w:cs="方正小标宋_GBK"/>
          <w:sz w:val="44"/>
          <w:szCs w:val="44"/>
          <w:u w:val="none"/>
        </w:rPr>
        <w:t>》的通知</w:t>
      </w:r>
    </w:p>
    <w:p>
      <w:pPr>
        <w:autoSpaceDE w:val="0"/>
        <w:autoSpaceDN w:val="0"/>
        <w:adjustRightInd w:val="0"/>
        <w:spacing w:line="380" w:lineRule="exact"/>
        <w:jc w:val="center"/>
        <w:rPr>
          <w:rFonts w:hint="default" w:ascii="Times New Roman" w:hAnsi="Times New Roman" w:eastAsia="方正仿宋_GBK" w:cs="Times New Roman"/>
          <w:sz w:val="32"/>
          <w:szCs w:val="32"/>
        </w:rPr>
      </w:pPr>
      <w:bookmarkStart w:id="1" w:name="_GoBack"/>
      <w:r>
        <w:rPr>
          <w:rFonts w:hint="eastAsia" w:ascii="方正楷体_GBK" w:hAnsi="方正楷体_GBK" w:eastAsia="方正楷体_GBK" w:cs="方正楷体_GBK"/>
          <w:sz w:val="32"/>
          <w:szCs w:val="32"/>
          <w:u w:val="none"/>
          <w:lang w:val="en-US" w:eastAsia="zh-CN"/>
        </w:rPr>
        <w:t xml:space="preserve"> </w:t>
      </w:r>
      <w:r>
        <w:rPr>
          <w:rFonts w:hint="default" w:ascii="Times New Roman" w:hAnsi="Times New Roman" w:eastAsia="方正仿宋_GBK" w:cs="Times New Roman"/>
          <w:sz w:val="32"/>
          <w:szCs w:val="32"/>
        </w:rPr>
        <w:t>渝</w:t>
      </w:r>
      <w:r>
        <w:rPr>
          <w:rFonts w:hint="default" w:ascii="Times New Roman" w:hAnsi="Times New Roman" w:eastAsia="方正仿宋_GBK" w:cs="Times New Roman"/>
          <w:sz w:val="32"/>
          <w:szCs w:val="32"/>
          <w:lang w:eastAsia="zh-CN"/>
        </w:rPr>
        <w:t>医保</w:t>
      </w:r>
      <w:r>
        <w:rPr>
          <w:rFonts w:hint="default" w:ascii="Times New Roman" w:hAnsi="Times New Roman" w:eastAsia="方正仿宋_GBK" w:cs="Times New Roman"/>
          <w:sz w:val="32"/>
          <w:szCs w:val="32"/>
        </w:rPr>
        <w:t>发〔20</w:t>
      </w:r>
      <w:r>
        <w:rPr>
          <w:rFonts w:hint="eastAsia"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rPr>
        <w:t>号</w:t>
      </w:r>
    </w:p>
    <w:bookmarkEnd w:id="1"/>
    <w:p>
      <w:pPr>
        <w:keepNext w:val="0"/>
        <w:keepLines w:val="0"/>
        <w:pageBreakBefore w:val="0"/>
        <w:widowControl w:val="0"/>
        <w:kinsoku/>
        <w:wordWrap/>
        <w:overflowPunct/>
        <w:topLinePunct w:val="0"/>
        <w:autoSpaceDE/>
        <w:autoSpaceDN/>
        <w:bidi w:val="0"/>
        <w:adjustRightInd/>
        <w:snapToGrid/>
        <w:spacing w:line="620" w:lineRule="exact"/>
        <w:jc w:val="both"/>
        <w:textAlignment w:val="auto"/>
        <w:rPr>
          <w:rFonts w:hint="default" w:ascii="Times New Roman" w:hAnsi="Times New Roman" w:eastAsia="仿宋_GB2312" w:cs="Times New Roman"/>
          <w:sz w:val="32"/>
          <w:szCs w:val="32"/>
          <w:u w:val="none"/>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jc w:val="both"/>
        <w:textAlignment w:val="auto"/>
        <w:rPr>
          <w:rFonts w:hint="default" w:ascii="Times New Roman" w:hAnsi="Times New Roman" w:eastAsia="方正仿宋_GBK" w:cs="Times New Roman"/>
          <w:color w:val="auto"/>
          <w:spacing w:val="6"/>
          <w:sz w:val="32"/>
          <w:szCs w:val="32"/>
          <w:u w:val="none"/>
          <w:lang w:val="en-US" w:eastAsia="zh-CN"/>
        </w:rPr>
      </w:pPr>
      <w:r>
        <w:rPr>
          <w:rFonts w:hint="eastAsia" w:ascii="Times New Roman" w:hAnsi="Times New Roman" w:eastAsia="方正仿宋_GBK" w:cs="Times New Roman"/>
          <w:color w:val="auto"/>
          <w:spacing w:val="6"/>
          <w:sz w:val="32"/>
          <w:szCs w:val="32"/>
          <w:u w:val="none"/>
          <w:lang w:val="en-US" w:eastAsia="zh-CN"/>
        </w:rPr>
        <w:t>重庆市各区县（自治县）医保局、两江新区社会保障局、高新区政务服务和社会事务中心、万盛经开区人力社保局，四川天府新区社区治理和社事局、成都东部新区文旅体局、成都市各区（市）县医保局：</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为贯彻党中央国务院《成渝地区双城经济圈建设规划纲要》战略部署，经川渝医疗保障战略合作领导小组同意，现将《成渝两地职工基本医疗保险缴费年限互认管理办法（暂行）》印发给你们，请结合实际，积极推动实施。</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z w:val="32"/>
          <w:szCs w:val="32"/>
          <w:u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z w:val="32"/>
          <w:szCs w:val="32"/>
          <w:u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z w:val="32"/>
          <w:szCs w:val="32"/>
          <w:u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z w:val="32"/>
          <w:szCs w:val="32"/>
          <w:u w:val="none"/>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Times New Roman" w:hAnsi="Times New Roman" w:eastAsia="方正仿宋_GBK" w:cs="Times New Roman"/>
          <w:color w:val="auto"/>
          <w:sz w:val="32"/>
          <w:szCs w:val="32"/>
          <w:u w:val="none"/>
          <w:lang w:val="en-US" w:eastAsia="zh-CN"/>
        </w:rPr>
        <w:t>重庆市医疗保障局</w:t>
      </w:r>
      <w:r>
        <w:rPr>
          <w:rFonts w:hint="default" w:ascii="Times New Roman" w:hAnsi="Times New Roman" w:eastAsia="方正仿宋_GBK" w:cs="Times New Roman"/>
          <w:color w:val="auto"/>
          <w:sz w:val="32"/>
          <w:szCs w:val="32"/>
          <w:u w:val="none"/>
          <w:lang w:val="en-US" w:eastAsia="zh-CN"/>
        </w:rPr>
        <w:tab/>
      </w:r>
      <w:r>
        <w:rPr>
          <w:rFonts w:hint="eastAsia" w:ascii="Times New Roman" w:hAnsi="Times New Roman" w:eastAsia="方正仿宋_GBK" w:cs="Times New Roman"/>
          <w:color w:val="auto"/>
          <w:sz w:val="32"/>
          <w:szCs w:val="32"/>
          <w:u w:val="none"/>
          <w:lang w:val="en-US" w:eastAsia="zh-CN"/>
        </w:rPr>
        <w:t xml:space="preserve">           成都市</w:t>
      </w:r>
      <w:r>
        <w:rPr>
          <w:rFonts w:hint="default" w:ascii="Times New Roman" w:hAnsi="Times New Roman" w:eastAsia="方正仿宋_GBK" w:cs="Times New Roman"/>
          <w:color w:val="auto"/>
          <w:sz w:val="32"/>
          <w:szCs w:val="32"/>
          <w:u w:val="none"/>
          <w:lang w:val="en-US" w:eastAsia="zh-CN"/>
        </w:rPr>
        <w:t>医疗保障局</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0" w:firstLineChars="200"/>
        <w:jc w:val="both"/>
        <w:textAlignment w:val="auto"/>
        <w:rPr>
          <w:rFonts w:hint="default" w:ascii="Times New Roman" w:hAnsi="Times New Roman" w:eastAsia="仿宋_GB2312" w:cs="Times New Roman"/>
          <w:color w:val="auto"/>
          <w:sz w:val="32"/>
          <w:szCs w:val="32"/>
          <w:u w:val="none"/>
        </w:rPr>
      </w:pPr>
      <w:r>
        <w:rPr>
          <w:rFonts w:hint="eastAsia" w:ascii="Times New Roman" w:hAnsi="Times New Roman" w:eastAsia="方正仿宋_GBK" w:cs="Times New Roman"/>
          <w:color w:val="auto"/>
          <w:sz w:val="32"/>
          <w:szCs w:val="32"/>
          <w:u w:val="none"/>
          <w:lang w:val="en-US" w:eastAsia="zh-CN"/>
        </w:rPr>
        <w:t xml:space="preserve">                            2023</w:t>
      </w:r>
      <w:r>
        <w:rPr>
          <w:rFonts w:hint="default" w:ascii="Times New Roman" w:hAnsi="Times New Roman" w:eastAsia="方正仿宋_GBK" w:cs="Times New Roman"/>
          <w:color w:val="auto"/>
          <w:sz w:val="32"/>
          <w:szCs w:val="32"/>
          <w:u w:val="none"/>
          <w:lang w:val="en-US" w:eastAsia="zh-CN"/>
        </w:rPr>
        <w:t>年</w:t>
      </w:r>
      <w:r>
        <w:rPr>
          <w:rFonts w:hint="eastAsia" w:ascii="Times New Roman" w:hAnsi="Times New Roman" w:eastAsia="方正仿宋_GBK" w:cs="Times New Roman"/>
          <w:color w:val="auto"/>
          <w:sz w:val="32"/>
          <w:szCs w:val="32"/>
          <w:u w:val="none"/>
          <w:lang w:val="en-US" w:eastAsia="zh-CN"/>
        </w:rPr>
        <w:t>12</w:t>
      </w:r>
      <w:r>
        <w:rPr>
          <w:rFonts w:hint="default" w:ascii="Times New Roman" w:hAnsi="Times New Roman" w:eastAsia="方正仿宋_GBK" w:cs="Times New Roman"/>
          <w:color w:val="auto"/>
          <w:sz w:val="32"/>
          <w:szCs w:val="32"/>
          <w:u w:val="none"/>
          <w:lang w:val="en-US" w:eastAsia="zh-CN"/>
        </w:rPr>
        <w:t>月</w:t>
      </w:r>
      <w:r>
        <w:rPr>
          <w:rFonts w:hint="eastAsia" w:ascii="Times New Roman" w:hAnsi="Times New Roman" w:eastAsia="方正仿宋_GBK" w:cs="Times New Roman"/>
          <w:color w:val="auto"/>
          <w:sz w:val="32"/>
          <w:szCs w:val="32"/>
          <w:u w:val="none"/>
          <w:lang w:val="en-US" w:eastAsia="zh-CN"/>
        </w:rPr>
        <w:t>29</w:t>
      </w:r>
      <w:r>
        <w:rPr>
          <w:rFonts w:hint="default" w:ascii="Times New Roman" w:hAnsi="Times New Roman" w:eastAsia="方正仿宋_GBK" w:cs="Times New Roman"/>
          <w:color w:val="auto"/>
          <w:sz w:val="32"/>
          <w:szCs w:val="32"/>
          <w:u w:val="none"/>
          <w:lang w:val="en-US" w:eastAsia="zh-CN"/>
        </w:rPr>
        <w:t>日</w:t>
      </w:r>
    </w:p>
    <w:p>
      <w:pPr>
        <w:keepNext w:val="0"/>
        <w:keepLines w:val="0"/>
        <w:pageBreakBefore w:val="0"/>
        <w:widowControl w:val="0"/>
        <w:numPr>
          <w:ilvl w:val="0"/>
          <w:numId w:val="0"/>
        </w:numPr>
        <w:kinsoku/>
        <w:wordWrap/>
        <w:overflowPunct w:val="0"/>
        <w:topLinePunct w:val="0"/>
        <w:autoSpaceDE/>
        <w:autoSpaceDN/>
        <w:bidi w:val="0"/>
        <w:adjustRightInd w:val="0"/>
        <w:snapToGrid w:val="0"/>
        <w:spacing w:line="620" w:lineRule="exact"/>
        <w:ind w:firstLine="640" w:firstLineChars="200"/>
        <w:jc w:val="both"/>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val="en-US" w:eastAsia="zh-CN"/>
        </w:rPr>
        <w:t>（此件主动公开）</w:t>
      </w:r>
    </w:p>
    <w:p>
      <w:pPr>
        <w:keepNext w:val="0"/>
        <w:keepLines w:val="0"/>
        <w:pageBreakBefore w:val="0"/>
        <w:widowControl w:val="0"/>
        <w:kinsoku/>
        <w:wordWrap/>
        <w:topLinePunct w:val="0"/>
        <w:autoSpaceDE/>
        <w:autoSpaceDN/>
        <w:bidi w:val="0"/>
        <w:spacing w:line="620" w:lineRule="exact"/>
        <w:jc w:val="both"/>
        <w:textAlignment w:val="auto"/>
        <w:rPr>
          <w:rFonts w:hint="default" w:ascii="宋体" w:hAnsi="Times New Roman" w:eastAsia="宋体" w:cs="Times New Roman"/>
          <w:color w:val="auto"/>
          <w:kern w:val="2"/>
          <w:sz w:val="18"/>
          <w:szCs w:val="18"/>
          <w:lang w:val="en-US" w:eastAsia="zh-CN" w:bidi="ar-SA"/>
        </w:rPr>
      </w:pPr>
    </w:p>
    <w:p>
      <w:pPr>
        <w:rPr>
          <w:rFonts w:hint="default" w:ascii="Times New Roman" w:hAnsi="Times New Roman" w:eastAsia="仿宋_GB2312" w:cs="Times New Roman"/>
          <w:sz w:val="32"/>
          <w:szCs w:val="22"/>
        </w:rPr>
      </w:pPr>
    </w:p>
    <w:p>
      <w:pPr>
        <w:keepNext/>
        <w:keepLines/>
        <w:widowControl w:val="0"/>
        <w:spacing w:before="340" w:after="330" w:line="578" w:lineRule="auto"/>
        <w:jc w:val="both"/>
        <w:outlineLvl w:val="0"/>
        <w:rPr>
          <w:rFonts w:hint="default" w:ascii="Times New Roman" w:hAnsi="Times New Roman" w:eastAsia="仿宋_GB2312" w:cs="Times New Roman"/>
          <w:kern w:val="2"/>
          <w:sz w:val="32"/>
          <w:szCs w:val="22"/>
          <w:lang w:val="en-US" w:eastAsia="zh-CN" w:bidi="ar-SA"/>
        </w:rPr>
      </w:pPr>
    </w:p>
    <w:p>
      <w:pPr>
        <w:rPr>
          <w:rFonts w:hint="default" w:ascii="Times New Roman" w:hAnsi="Times New Roman" w:eastAsia="仿宋_GB2312" w:cs="Times New Roman"/>
          <w:sz w:val="32"/>
          <w:szCs w:val="22"/>
        </w:rPr>
      </w:pPr>
    </w:p>
    <w:p>
      <w:pPr>
        <w:keepNext/>
        <w:keepLines/>
        <w:widowControl w:val="0"/>
        <w:spacing w:before="340" w:after="330" w:line="578" w:lineRule="auto"/>
        <w:jc w:val="both"/>
        <w:outlineLvl w:val="0"/>
        <w:rPr>
          <w:rFonts w:hint="default" w:ascii="Times New Roman" w:hAnsi="Times New Roman" w:eastAsia="仿宋_GB2312" w:cs="Times New Roman"/>
          <w:kern w:val="2"/>
          <w:sz w:val="32"/>
          <w:szCs w:val="22"/>
          <w:lang w:val="en-US" w:eastAsia="zh-CN" w:bidi="ar-SA"/>
        </w:rPr>
      </w:pPr>
    </w:p>
    <w:p>
      <w:pPr>
        <w:rPr>
          <w:rFonts w:hint="default" w:ascii="Times New Roman" w:hAnsi="Times New Roman" w:eastAsia="仿宋_GB2312" w:cs="Times New Roman"/>
          <w:sz w:val="32"/>
          <w:szCs w:val="22"/>
        </w:rPr>
      </w:pPr>
    </w:p>
    <w:p>
      <w:pPr>
        <w:keepNext/>
        <w:keepLines/>
        <w:widowControl w:val="0"/>
        <w:spacing w:before="340" w:after="330" w:line="578" w:lineRule="auto"/>
        <w:jc w:val="both"/>
        <w:outlineLvl w:val="0"/>
        <w:rPr>
          <w:rFonts w:hint="default" w:ascii="Times New Roman" w:hAnsi="Times New Roman" w:eastAsia="仿宋_GB2312" w:cs="Times New Roman"/>
          <w:kern w:val="2"/>
          <w:sz w:val="32"/>
          <w:szCs w:val="22"/>
          <w:lang w:val="en-US" w:eastAsia="zh-CN" w:bidi="ar-SA"/>
        </w:rPr>
      </w:pPr>
    </w:p>
    <w:p>
      <w:pPr>
        <w:rPr>
          <w:rFonts w:hint="default" w:ascii="Times New Roman" w:hAnsi="Times New Roman" w:eastAsia="仿宋_GB2312" w:cs="Times New Roman"/>
          <w:sz w:val="32"/>
          <w:szCs w:val="22"/>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u w:val="none"/>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u w:val="none"/>
        </w:rPr>
      </w:pP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u w:val="none"/>
        </w:rPr>
      </w:pPr>
      <w:r>
        <w:rPr>
          <w:rFonts w:hint="eastAsia" w:ascii="方正小标宋_GBK" w:hAnsi="方正小标宋_GBK" w:eastAsia="方正小标宋_GBK" w:cs="方正小标宋_GBK"/>
          <w:color w:val="auto"/>
          <w:sz w:val="44"/>
          <w:szCs w:val="44"/>
          <w:u w:val="none"/>
        </w:rPr>
        <w:t>成渝</w:t>
      </w:r>
      <w:r>
        <w:rPr>
          <w:rFonts w:hint="eastAsia" w:ascii="方正小标宋_GBK" w:hAnsi="方正小标宋_GBK" w:eastAsia="方正小标宋_GBK" w:cs="方正小标宋_GBK"/>
          <w:color w:val="auto"/>
          <w:sz w:val="44"/>
          <w:szCs w:val="44"/>
          <w:u w:val="none"/>
          <w:lang w:eastAsia="zh-CN"/>
        </w:rPr>
        <w:t>两地</w:t>
      </w:r>
      <w:r>
        <w:rPr>
          <w:rFonts w:hint="eastAsia" w:ascii="方正小标宋_GBK" w:hAnsi="方正小标宋_GBK" w:eastAsia="方正小标宋_GBK" w:cs="方正小标宋_GBK"/>
          <w:color w:val="auto"/>
          <w:sz w:val="44"/>
          <w:szCs w:val="44"/>
          <w:u w:val="none"/>
        </w:rPr>
        <w:t>职工基本医疗保险</w:t>
      </w:r>
    </w:p>
    <w:p>
      <w:pPr>
        <w:keepNext w:val="0"/>
        <w:keepLines w:val="0"/>
        <w:pageBreakBefore w:val="0"/>
        <w:widowControl w:val="0"/>
        <w:kinsoku/>
        <w:wordWrap/>
        <w:overflowPunct w:val="0"/>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u w:val="none"/>
          <w:lang w:eastAsia="zh-CN"/>
        </w:rPr>
      </w:pPr>
      <w:r>
        <w:rPr>
          <w:rFonts w:hint="eastAsia" w:ascii="方正小标宋_GBK" w:hAnsi="方正小标宋_GBK" w:eastAsia="方正小标宋_GBK" w:cs="方正小标宋_GBK"/>
          <w:color w:val="auto"/>
          <w:sz w:val="44"/>
          <w:szCs w:val="44"/>
          <w:u w:val="none"/>
          <w:lang w:eastAsia="zh-CN"/>
        </w:rPr>
        <w:t>缴费年限互认管理</w:t>
      </w:r>
      <w:r>
        <w:rPr>
          <w:rFonts w:hint="eastAsia" w:ascii="方正小标宋_GBK" w:hAnsi="方正小标宋_GBK" w:eastAsia="方正小标宋_GBK" w:cs="方正小标宋_GBK"/>
          <w:color w:val="auto"/>
          <w:sz w:val="44"/>
          <w:szCs w:val="44"/>
          <w:u w:val="none"/>
        </w:rPr>
        <w:t>办法</w:t>
      </w:r>
      <w:r>
        <w:rPr>
          <w:rFonts w:hint="eastAsia" w:ascii="方正小标宋_GBK" w:hAnsi="方正小标宋_GBK" w:eastAsia="方正小标宋_GBK" w:cs="方正小标宋_GBK"/>
          <w:color w:val="auto"/>
          <w:sz w:val="44"/>
          <w:szCs w:val="44"/>
          <w:u w:val="none"/>
          <w:lang w:eastAsia="zh-CN"/>
        </w:rPr>
        <w:t>（</w:t>
      </w:r>
      <w:r>
        <w:rPr>
          <w:rFonts w:hint="eastAsia" w:ascii="方正小标宋_GBK" w:hAnsi="方正小标宋_GBK" w:eastAsia="方正小标宋_GBK" w:cs="方正小标宋_GBK"/>
          <w:color w:val="auto"/>
          <w:sz w:val="44"/>
          <w:szCs w:val="44"/>
          <w:u w:val="none"/>
          <w:lang w:val="en-US" w:eastAsia="zh-CN"/>
        </w:rPr>
        <w:t>暂行</w:t>
      </w:r>
      <w:r>
        <w:rPr>
          <w:rFonts w:hint="eastAsia" w:ascii="方正小标宋_GBK" w:hAnsi="方正小标宋_GBK" w:eastAsia="方正小标宋_GBK" w:cs="方正小标宋_GBK"/>
          <w:color w:val="auto"/>
          <w:sz w:val="44"/>
          <w:szCs w:val="44"/>
          <w:u w:val="none"/>
          <w:lang w:eastAsia="zh-CN"/>
        </w:rPr>
        <w:t>）</w:t>
      </w:r>
    </w:p>
    <w:p>
      <w:pPr>
        <w:keepNext w:val="0"/>
        <w:keepLines w:val="0"/>
        <w:pageBreakBefore w:val="0"/>
        <w:widowControl w:val="0"/>
        <w:kinsoku/>
        <w:wordWrap/>
        <w:overflowPunct w:val="0"/>
        <w:topLinePunct w:val="0"/>
        <w:autoSpaceDE/>
        <w:autoSpaceDN/>
        <w:bidi w:val="0"/>
        <w:adjustRightInd/>
        <w:snapToGrid/>
        <w:spacing w:line="579" w:lineRule="exact"/>
        <w:jc w:val="both"/>
        <w:textAlignment w:val="auto"/>
        <w:rPr>
          <w:rFonts w:hint="default" w:ascii="Times New Roman" w:hAnsi="Times New Roman" w:eastAsia="方正小标宋简体" w:cs="Times New Roman"/>
          <w:color w:val="auto"/>
          <w:sz w:val="44"/>
          <w:szCs w:val="44"/>
          <w:u w:val="none"/>
        </w:rPr>
      </w:pP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eastAsia" w:ascii="方正黑体_GBK" w:hAnsi="方正黑体_GBK" w:eastAsia="方正黑体_GBK" w:cs="方正黑体_GBK"/>
          <w:b w:val="0"/>
          <w:bCs w:val="0"/>
          <w:color w:val="auto"/>
          <w:sz w:val="32"/>
          <w:szCs w:val="32"/>
          <w:u w:val="none"/>
        </w:rPr>
        <w:t>第一条</w:t>
      </w:r>
      <w:r>
        <w:rPr>
          <w:rFonts w:hint="default" w:ascii="Times New Roman" w:hAnsi="Times New Roman" w:eastAsia="方正仿宋_GBK" w:cs="Times New Roman"/>
          <w:color w:val="auto"/>
          <w:sz w:val="32"/>
          <w:szCs w:val="32"/>
          <w:u w:val="none"/>
          <w:lang w:val="en-US" w:eastAsia="zh-CN"/>
        </w:rPr>
        <w:t xml:space="preserve"> </w:t>
      </w:r>
      <w:r>
        <w:rPr>
          <w:rFonts w:hint="default" w:ascii="Times New Roman" w:hAnsi="Times New Roman" w:eastAsia="方正仿宋_GBK" w:cs="Times New Roman"/>
          <w:color w:val="auto"/>
          <w:sz w:val="32"/>
          <w:szCs w:val="32"/>
          <w:u w:val="none"/>
        </w:rPr>
        <w:t>为高效有序推进川渝医疗保障战略合作，推动</w:t>
      </w:r>
      <w:r>
        <w:rPr>
          <w:rFonts w:hint="eastAsia" w:ascii="Times New Roman" w:hAnsi="Times New Roman" w:eastAsia="方正仿宋_GBK" w:cs="Times New Roman"/>
          <w:color w:val="auto"/>
          <w:sz w:val="32"/>
          <w:szCs w:val="32"/>
          <w:u w:val="none"/>
          <w:lang w:eastAsia="zh-CN"/>
        </w:rPr>
        <w:t>重庆市和成都市</w:t>
      </w:r>
      <w:r>
        <w:rPr>
          <w:rFonts w:hint="default" w:ascii="Times New Roman" w:hAnsi="Times New Roman" w:eastAsia="方正仿宋_GBK" w:cs="Times New Roman"/>
          <w:color w:val="auto"/>
          <w:sz w:val="32"/>
          <w:szCs w:val="32"/>
          <w:u w:val="none"/>
        </w:rPr>
        <w:t>职工基本医疗保险</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以下简称</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职工医保</w:t>
      </w:r>
      <w:r>
        <w:rPr>
          <w:rFonts w:hint="eastAsia" w:ascii="Times New Roman" w:hAnsi="Times New Roman" w:eastAsia="方正仿宋_GBK" w:cs="Times New Roman"/>
          <w:color w:val="auto"/>
          <w:sz w:val="32"/>
          <w:szCs w:val="32"/>
          <w:u w:val="none"/>
          <w:lang w:eastAsia="zh-CN"/>
        </w:rPr>
        <w:t>”）缴费年限互认</w:t>
      </w:r>
      <w:r>
        <w:rPr>
          <w:rFonts w:hint="default" w:ascii="Times New Roman" w:hAnsi="Times New Roman" w:eastAsia="方正仿宋_GBK" w:cs="Times New Roman"/>
          <w:color w:val="auto"/>
          <w:sz w:val="32"/>
          <w:szCs w:val="32"/>
          <w:u w:val="none"/>
        </w:rPr>
        <w:t>，维护流动就业人员医疗保险合法权益，根据《中华人民共和国社会保险法》等国家有关法律法规和</w:t>
      </w:r>
      <w:r>
        <w:rPr>
          <w:rFonts w:hint="eastAsia" w:ascii="Times New Roman" w:hAnsi="Times New Roman" w:eastAsia="方正仿宋_GBK" w:cs="Times New Roman"/>
          <w:color w:val="auto"/>
          <w:sz w:val="32"/>
          <w:szCs w:val="32"/>
          <w:u w:val="none"/>
          <w:lang w:eastAsia="zh-CN"/>
        </w:rPr>
        <w:t>成</w:t>
      </w:r>
      <w:r>
        <w:rPr>
          <w:rFonts w:hint="default" w:ascii="Times New Roman" w:hAnsi="Times New Roman" w:eastAsia="方正仿宋_GBK" w:cs="Times New Roman"/>
          <w:color w:val="auto"/>
          <w:sz w:val="32"/>
          <w:szCs w:val="32"/>
          <w:u w:val="none"/>
        </w:rPr>
        <w:t>渝两地有关政策，制定本办法。</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方正黑体_GBK" w:hAnsi="方正黑体_GBK" w:eastAsia="方正黑体_GBK" w:cs="方正黑体_GBK"/>
          <w:b w:val="0"/>
          <w:bCs w:val="0"/>
          <w:color w:val="auto"/>
          <w:sz w:val="32"/>
          <w:szCs w:val="32"/>
          <w:u w:val="none"/>
        </w:rPr>
        <w:t xml:space="preserve">第二条 </w:t>
      </w:r>
      <w:r>
        <w:rPr>
          <w:rFonts w:hint="default" w:ascii="Times New Roman" w:hAnsi="Times New Roman" w:eastAsia="方正仿宋_GBK" w:cs="Times New Roman"/>
          <w:color w:val="auto"/>
          <w:sz w:val="32"/>
          <w:szCs w:val="32"/>
          <w:u w:val="none"/>
        </w:rPr>
        <w:t>按照川渝医疗保障战略合作重点工作任务要求，在重庆市</w:t>
      </w:r>
      <w:r>
        <w:rPr>
          <w:rFonts w:hint="eastAsia" w:ascii="Times New Roman" w:hAnsi="Times New Roman" w:eastAsia="方正仿宋_GBK" w:cs="Times New Roman"/>
          <w:color w:val="auto"/>
          <w:sz w:val="32"/>
          <w:szCs w:val="32"/>
          <w:u w:val="none"/>
          <w:lang w:eastAsia="zh-CN"/>
        </w:rPr>
        <w:t>和</w:t>
      </w:r>
      <w:r>
        <w:rPr>
          <w:rFonts w:hint="default" w:ascii="Times New Roman" w:hAnsi="Times New Roman" w:eastAsia="方正仿宋_GBK" w:cs="Times New Roman"/>
          <w:color w:val="auto"/>
          <w:sz w:val="32"/>
          <w:szCs w:val="32"/>
          <w:u w:val="none"/>
        </w:rPr>
        <w:t>成都市两个统筹区</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以下简称成渝两地</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开展</w:t>
      </w:r>
      <w:r>
        <w:rPr>
          <w:rFonts w:hint="eastAsia" w:ascii="Times New Roman" w:hAnsi="Times New Roman" w:eastAsia="方正仿宋_GBK" w:cs="Times New Roman"/>
          <w:color w:val="auto"/>
          <w:sz w:val="32"/>
          <w:szCs w:val="32"/>
          <w:u w:val="none"/>
          <w:lang w:eastAsia="zh-CN"/>
        </w:rPr>
        <w:t>职工医保</w:t>
      </w:r>
      <w:r>
        <w:rPr>
          <w:rFonts w:hint="default" w:ascii="Times New Roman" w:hAnsi="Times New Roman" w:eastAsia="方正仿宋_GBK" w:cs="Times New Roman"/>
          <w:color w:val="auto"/>
          <w:sz w:val="32"/>
          <w:szCs w:val="32"/>
          <w:u w:val="none"/>
        </w:rPr>
        <w:t>缴费年限互认</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方正黑体_GBK" w:hAnsi="方正黑体_GBK" w:eastAsia="方正黑体_GBK" w:cs="方正黑体_GBK"/>
          <w:b w:val="0"/>
          <w:bCs w:val="0"/>
          <w:color w:val="auto"/>
          <w:sz w:val="32"/>
          <w:szCs w:val="32"/>
          <w:u w:val="none"/>
        </w:rPr>
        <w:t>第三条</w:t>
      </w:r>
      <w:r>
        <w:rPr>
          <w:rFonts w:hint="default" w:ascii="Times New Roman" w:hAnsi="Times New Roman" w:eastAsia="方正仿宋_GBK" w:cs="Times New Roman"/>
          <w:color w:val="auto"/>
          <w:sz w:val="32"/>
          <w:szCs w:val="32"/>
          <w:u w:val="none"/>
        </w:rPr>
        <w:t xml:space="preserve"> 成渝两地</w:t>
      </w:r>
      <w:r>
        <w:rPr>
          <w:rFonts w:hint="eastAsia" w:ascii="Times New Roman" w:hAnsi="Times New Roman" w:eastAsia="方正仿宋_GBK" w:cs="Times New Roman"/>
          <w:color w:val="auto"/>
          <w:sz w:val="32"/>
          <w:szCs w:val="32"/>
          <w:u w:val="none"/>
          <w:lang w:val="en-US" w:eastAsia="zh-CN"/>
        </w:rPr>
        <w:t>内职工医保参保人员（以下简称成渝职工）</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适用本办法</w:t>
      </w:r>
      <w:r>
        <w:rPr>
          <w:rFonts w:hint="default"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u w:val="none"/>
          <w:lang w:val="en-US" w:eastAsia="zh-CN"/>
        </w:rPr>
      </w:pPr>
      <w:r>
        <w:rPr>
          <w:rFonts w:hint="default" w:ascii="方正黑体_GBK" w:hAnsi="方正黑体_GBK" w:eastAsia="方正黑体_GBK" w:cs="方正黑体_GBK"/>
          <w:b w:val="0"/>
          <w:bCs w:val="0"/>
          <w:color w:val="auto"/>
          <w:sz w:val="32"/>
          <w:szCs w:val="32"/>
          <w:u w:val="none"/>
        </w:rPr>
        <w:t>第</w:t>
      </w:r>
      <w:r>
        <w:rPr>
          <w:rFonts w:hint="eastAsia" w:ascii="方正黑体_GBK" w:hAnsi="方正黑体_GBK" w:eastAsia="方正黑体_GBK" w:cs="方正黑体_GBK"/>
          <w:b w:val="0"/>
          <w:bCs w:val="0"/>
          <w:color w:val="auto"/>
          <w:sz w:val="32"/>
          <w:szCs w:val="32"/>
          <w:u w:val="none"/>
          <w:lang w:eastAsia="zh-CN"/>
        </w:rPr>
        <w:t>四</w:t>
      </w:r>
      <w:r>
        <w:rPr>
          <w:rFonts w:hint="default" w:ascii="方正黑体_GBK" w:hAnsi="方正黑体_GBK" w:eastAsia="方正黑体_GBK" w:cs="方正黑体_GBK"/>
          <w:b w:val="0"/>
          <w:bCs w:val="0"/>
          <w:color w:val="auto"/>
          <w:sz w:val="32"/>
          <w:szCs w:val="32"/>
          <w:u w:val="none"/>
        </w:rPr>
        <w:t>条</w:t>
      </w:r>
      <w:r>
        <w:rPr>
          <w:rFonts w:hint="default" w:ascii="Times New Roman" w:hAnsi="Times New Roman" w:eastAsia="方正仿宋_GBK" w:cs="Times New Roman"/>
          <w:color w:val="auto"/>
          <w:sz w:val="32"/>
          <w:szCs w:val="32"/>
          <w:u w:val="none"/>
        </w:rPr>
        <w:t xml:space="preserve"> </w:t>
      </w:r>
      <w:r>
        <w:rPr>
          <w:rFonts w:hint="eastAsia" w:ascii="Times New Roman" w:hAnsi="Times New Roman" w:eastAsia="方正仿宋_GBK" w:cs="Times New Roman"/>
          <w:color w:val="auto"/>
          <w:sz w:val="32"/>
          <w:szCs w:val="32"/>
          <w:u w:val="none"/>
          <w:lang w:val="en-US" w:eastAsia="zh-CN"/>
        </w:rPr>
        <w:t>办理过职工医保关系转移接续的</w:t>
      </w:r>
      <w:r>
        <w:rPr>
          <w:rFonts w:hint="default" w:ascii="Times New Roman" w:hAnsi="Times New Roman" w:eastAsia="方正仿宋_GBK" w:cs="Times New Roman"/>
          <w:color w:val="auto"/>
          <w:sz w:val="32"/>
          <w:szCs w:val="32"/>
          <w:u w:val="none"/>
        </w:rPr>
        <w:t>成渝两地</w:t>
      </w:r>
      <w:r>
        <w:rPr>
          <w:rFonts w:hint="eastAsia" w:ascii="Times New Roman" w:hAnsi="Times New Roman" w:eastAsia="方正仿宋_GBK" w:cs="Times New Roman"/>
          <w:color w:val="auto"/>
          <w:sz w:val="32"/>
          <w:szCs w:val="32"/>
          <w:u w:val="none"/>
          <w:lang w:val="en-US" w:eastAsia="zh-CN"/>
        </w:rPr>
        <w:t>实际缴纳</w:t>
      </w:r>
      <w:r>
        <w:rPr>
          <w:rFonts w:hint="default" w:ascii="Times New Roman" w:hAnsi="Times New Roman" w:eastAsia="方正仿宋_GBK" w:cs="Times New Roman"/>
          <w:color w:val="auto"/>
          <w:sz w:val="32"/>
          <w:szCs w:val="32"/>
          <w:u w:val="none"/>
        </w:rPr>
        <w:t>职工医保缴费年限</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以下简称职工实缴年限</w:t>
      </w:r>
      <w:r>
        <w:rPr>
          <w:rFonts w:hint="eastAsia" w:ascii="Times New Roman" w:hAnsi="Times New Roman" w:eastAsia="方正仿宋_GBK" w:cs="Times New Roman"/>
          <w:color w:val="auto"/>
          <w:sz w:val="32"/>
          <w:szCs w:val="32"/>
          <w:u w:val="none"/>
          <w:lang w:eastAsia="zh-CN"/>
        </w:rPr>
        <w:t>），在</w:t>
      </w:r>
      <w:r>
        <w:rPr>
          <w:rFonts w:hint="eastAsia" w:ascii="Times New Roman" w:hAnsi="Times New Roman" w:eastAsia="方正仿宋_GBK" w:cs="Times New Roman"/>
          <w:color w:val="auto"/>
          <w:sz w:val="32"/>
          <w:szCs w:val="32"/>
          <w:u w:val="none"/>
          <w:lang w:val="en-US" w:eastAsia="zh-CN"/>
        </w:rPr>
        <w:t>成渝职工</w:t>
      </w:r>
      <w:r>
        <w:rPr>
          <w:rFonts w:hint="default" w:ascii="Times New Roman" w:hAnsi="Times New Roman" w:eastAsia="方正仿宋_GBK" w:cs="Times New Roman"/>
          <w:color w:val="auto"/>
          <w:sz w:val="32"/>
          <w:szCs w:val="32"/>
          <w:u w:val="none"/>
        </w:rPr>
        <w:t>达到法定退休年龄</w:t>
      </w:r>
      <w:r>
        <w:rPr>
          <w:rFonts w:hint="eastAsia" w:ascii="Times New Roman" w:hAnsi="Times New Roman" w:eastAsia="方正仿宋_GBK" w:cs="Times New Roman"/>
          <w:color w:val="auto"/>
          <w:sz w:val="32"/>
          <w:szCs w:val="32"/>
          <w:u w:val="none"/>
          <w:lang w:eastAsia="zh-CN"/>
        </w:rPr>
        <w:t>，办理医保退休认定手续（以下简称医保</w:t>
      </w:r>
      <w:r>
        <w:rPr>
          <w:rFonts w:hint="eastAsia" w:ascii="Times New Roman" w:hAnsi="Times New Roman" w:eastAsia="方正仿宋_GBK" w:cs="Times New Roman"/>
          <w:color w:val="auto"/>
          <w:spacing w:val="-6"/>
          <w:sz w:val="32"/>
          <w:szCs w:val="32"/>
          <w:u w:val="none"/>
          <w:lang w:eastAsia="zh-CN"/>
        </w:rPr>
        <w:t>退休认定）时</w:t>
      </w:r>
      <w:r>
        <w:rPr>
          <w:rFonts w:hint="eastAsia" w:ascii="Times New Roman" w:hAnsi="Times New Roman" w:eastAsia="方正仿宋_GBK" w:cs="Times New Roman"/>
          <w:color w:val="auto"/>
          <w:spacing w:val="-6"/>
          <w:sz w:val="32"/>
          <w:szCs w:val="32"/>
          <w:u w:val="none"/>
          <w:lang w:val="en-US" w:eastAsia="zh-CN"/>
        </w:rPr>
        <w:t>予以互认，职工实缴年限重叠的部分不重复计算。</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方正黑体_GBK" w:hAnsi="方正黑体_GBK" w:eastAsia="方正黑体_GBK" w:cs="方正黑体_GBK"/>
          <w:b w:val="0"/>
          <w:bCs w:val="0"/>
          <w:color w:val="auto"/>
          <w:sz w:val="32"/>
          <w:szCs w:val="32"/>
          <w:u w:val="none"/>
        </w:rPr>
        <w:t>第</w:t>
      </w:r>
      <w:r>
        <w:rPr>
          <w:rFonts w:hint="eastAsia" w:ascii="方正黑体_GBK" w:hAnsi="方正黑体_GBK" w:eastAsia="方正黑体_GBK" w:cs="方正黑体_GBK"/>
          <w:b w:val="0"/>
          <w:bCs w:val="0"/>
          <w:color w:val="auto"/>
          <w:sz w:val="32"/>
          <w:szCs w:val="32"/>
          <w:u w:val="none"/>
          <w:lang w:val="en-US" w:eastAsia="zh-CN"/>
        </w:rPr>
        <w:t>五</w:t>
      </w:r>
      <w:r>
        <w:rPr>
          <w:rFonts w:hint="default" w:ascii="方正黑体_GBK" w:hAnsi="方正黑体_GBK" w:eastAsia="方正黑体_GBK" w:cs="方正黑体_GBK"/>
          <w:b w:val="0"/>
          <w:bCs w:val="0"/>
          <w:color w:val="auto"/>
          <w:sz w:val="32"/>
          <w:szCs w:val="32"/>
          <w:u w:val="none"/>
        </w:rPr>
        <w:t>条</w:t>
      </w:r>
      <w:r>
        <w:rPr>
          <w:rFonts w:hint="default" w:ascii="Times New Roman" w:hAnsi="Times New Roman" w:eastAsia="方正仿宋_GBK" w:cs="Times New Roman"/>
          <w:color w:val="auto"/>
          <w:sz w:val="32"/>
          <w:szCs w:val="32"/>
          <w:u w:val="none"/>
        </w:rPr>
        <w:t xml:space="preserve"> </w:t>
      </w:r>
      <w:r>
        <w:rPr>
          <w:rFonts w:hint="eastAsia" w:ascii="Times New Roman" w:hAnsi="Times New Roman" w:eastAsia="方正仿宋_GBK" w:cs="Times New Roman"/>
          <w:color w:val="auto"/>
          <w:sz w:val="32"/>
          <w:szCs w:val="32"/>
          <w:u w:val="none"/>
          <w:lang w:val="en-US" w:eastAsia="zh-CN"/>
        </w:rPr>
        <w:t>成渝职工</w:t>
      </w:r>
      <w:r>
        <w:rPr>
          <w:rFonts w:hint="default" w:ascii="Times New Roman" w:hAnsi="Times New Roman" w:eastAsia="方正仿宋_GBK" w:cs="Times New Roman"/>
          <w:color w:val="auto"/>
          <w:sz w:val="32"/>
          <w:szCs w:val="32"/>
          <w:u w:val="none"/>
        </w:rPr>
        <w:t>达到法定退休年龄，</w:t>
      </w:r>
      <w:r>
        <w:rPr>
          <w:rFonts w:hint="eastAsia" w:ascii="Times New Roman" w:hAnsi="Times New Roman" w:eastAsia="方正仿宋_GBK" w:cs="Times New Roman"/>
          <w:color w:val="auto"/>
          <w:sz w:val="32"/>
          <w:szCs w:val="32"/>
          <w:u w:val="none"/>
          <w:lang w:eastAsia="zh-CN"/>
        </w:rPr>
        <w:t>退休时</w:t>
      </w:r>
      <w:r>
        <w:rPr>
          <w:rFonts w:hint="default" w:ascii="Times New Roman" w:hAnsi="Times New Roman" w:eastAsia="方正仿宋_GBK" w:cs="Times New Roman"/>
          <w:color w:val="auto"/>
          <w:sz w:val="32"/>
          <w:szCs w:val="32"/>
          <w:u w:val="none"/>
        </w:rPr>
        <w:t>按照</w:t>
      </w:r>
      <w:r>
        <w:rPr>
          <w:rFonts w:hint="eastAsia" w:ascii="Times New Roman" w:hAnsi="Times New Roman" w:eastAsia="方正仿宋_GBK" w:cs="Times New Roman"/>
          <w:color w:val="auto"/>
          <w:sz w:val="32"/>
          <w:szCs w:val="32"/>
          <w:u w:val="none"/>
          <w:lang w:val="en-US" w:eastAsia="zh-CN"/>
        </w:rPr>
        <w:t>以下规则，</w:t>
      </w:r>
      <w:r>
        <w:rPr>
          <w:rFonts w:hint="default" w:ascii="Times New Roman" w:hAnsi="Times New Roman" w:eastAsia="方正仿宋_GBK" w:cs="Times New Roman"/>
          <w:color w:val="auto"/>
          <w:sz w:val="32"/>
          <w:szCs w:val="32"/>
          <w:u w:val="none"/>
        </w:rPr>
        <w:t>确定</w:t>
      </w:r>
      <w:r>
        <w:rPr>
          <w:rFonts w:hint="eastAsia" w:ascii="Times New Roman" w:hAnsi="Times New Roman" w:eastAsia="方正仿宋_GBK" w:cs="Times New Roman"/>
          <w:color w:val="auto"/>
          <w:sz w:val="32"/>
          <w:szCs w:val="32"/>
          <w:u w:val="none"/>
          <w:lang w:val="en-US" w:eastAsia="zh-CN"/>
        </w:rPr>
        <w:t>一地办理医保退休认定并在此地享受</w:t>
      </w:r>
      <w:r>
        <w:rPr>
          <w:rFonts w:hint="default" w:ascii="Times New Roman" w:hAnsi="Times New Roman" w:eastAsia="方正仿宋_GBK" w:cs="Times New Roman"/>
          <w:color w:val="auto"/>
          <w:sz w:val="32"/>
          <w:szCs w:val="32"/>
          <w:u w:val="none"/>
        </w:rPr>
        <w:t>退休后职工医保待遇，其医保关系</w:t>
      </w:r>
      <w:r>
        <w:rPr>
          <w:rFonts w:hint="eastAsia" w:ascii="Times New Roman" w:hAnsi="Times New Roman" w:eastAsia="方正仿宋_GBK" w:cs="Times New Roman"/>
          <w:color w:val="auto"/>
          <w:sz w:val="32"/>
          <w:szCs w:val="32"/>
          <w:u w:val="none"/>
          <w:lang w:eastAsia="zh-CN"/>
        </w:rPr>
        <w:t>同步确定</w:t>
      </w:r>
      <w:r>
        <w:rPr>
          <w:rFonts w:hint="default" w:ascii="Times New Roman" w:hAnsi="Times New Roman" w:eastAsia="方正仿宋_GBK" w:cs="Times New Roman"/>
          <w:color w:val="auto"/>
          <w:sz w:val="32"/>
          <w:szCs w:val="32"/>
          <w:u w:val="none"/>
        </w:rPr>
        <w:t>至</w:t>
      </w:r>
      <w:r>
        <w:rPr>
          <w:rFonts w:hint="eastAsia" w:ascii="Times New Roman" w:hAnsi="Times New Roman" w:eastAsia="方正仿宋_GBK" w:cs="Times New Roman"/>
          <w:color w:val="auto"/>
          <w:sz w:val="32"/>
          <w:szCs w:val="32"/>
          <w:u w:val="none"/>
          <w:lang w:val="en-US" w:eastAsia="zh-CN"/>
        </w:rPr>
        <w:t>该</w:t>
      </w:r>
      <w:r>
        <w:rPr>
          <w:rFonts w:hint="default" w:ascii="Times New Roman" w:hAnsi="Times New Roman" w:eastAsia="方正仿宋_GBK" w:cs="Times New Roman"/>
          <w:color w:val="auto"/>
          <w:sz w:val="32"/>
          <w:szCs w:val="32"/>
          <w:u w:val="none"/>
        </w:rPr>
        <w:t>地</w:t>
      </w:r>
      <w:r>
        <w:rPr>
          <w:rFonts w:hint="eastAsia" w:ascii="Times New Roman" w:hAnsi="Times New Roman" w:eastAsia="方正仿宋_GBK" w:cs="Times New Roman"/>
          <w:color w:val="auto"/>
          <w:sz w:val="32"/>
          <w:szCs w:val="32"/>
          <w:highlight w:val="none"/>
          <w:u w:val="none"/>
          <w:lang w:eastAsia="zh-CN"/>
        </w:rPr>
        <w:t>，不受是否在该地按月领取基本养老金或该地为职工基本医疗保险最后参保地的限制</w:t>
      </w:r>
      <w:r>
        <w:rPr>
          <w:rFonts w:hint="default" w:ascii="Times New Roman" w:hAnsi="Times New Roman" w:eastAsia="方正仿宋_GBK" w:cs="Times New Roman"/>
          <w:color w:val="auto"/>
          <w:sz w:val="32"/>
          <w:szCs w:val="32"/>
          <w:highlight w:val="none"/>
          <w:u w:val="none"/>
          <w:lang w:eastAsia="zh-CN"/>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一</w:t>
      </w:r>
      <w:r>
        <w:rPr>
          <w:rFonts w:hint="eastAsia" w:ascii="Times New Roman" w:hAnsi="Times New Roman" w:eastAsia="方正仿宋_GBK" w:cs="Times New Roman"/>
          <w:color w:val="auto"/>
          <w:sz w:val="32"/>
          <w:szCs w:val="32"/>
          <w:u w:val="none"/>
          <w:lang w:eastAsia="zh-CN"/>
        </w:rPr>
        <w:t>）医保</w:t>
      </w:r>
      <w:r>
        <w:rPr>
          <w:rFonts w:hint="eastAsia" w:ascii="Times New Roman" w:hAnsi="Times New Roman" w:eastAsia="方正仿宋_GBK" w:cs="Times New Roman"/>
          <w:color w:val="auto"/>
          <w:sz w:val="32"/>
          <w:szCs w:val="32"/>
          <w:u w:val="none"/>
          <w:lang w:val="en-US" w:eastAsia="zh-CN"/>
        </w:rPr>
        <w:t>退休认定时，</w:t>
      </w:r>
      <w:r>
        <w:rPr>
          <w:rFonts w:hint="default" w:ascii="Times New Roman" w:hAnsi="Times New Roman" w:eastAsia="方正仿宋_GBK" w:cs="Times New Roman"/>
          <w:color w:val="auto"/>
          <w:sz w:val="32"/>
          <w:szCs w:val="32"/>
          <w:u w:val="none"/>
        </w:rPr>
        <w:t>在成渝两地</w:t>
      </w:r>
      <w:r>
        <w:rPr>
          <w:rFonts w:hint="eastAsia" w:ascii="Times New Roman" w:hAnsi="Times New Roman" w:eastAsia="方正仿宋_GBK" w:cs="Times New Roman"/>
          <w:color w:val="auto"/>
          <w:sz w:val="32"/>
          <w:szCs w:val="32"/>
          <w:u w:val="none"/>
          <w:lang w:val="en-US" w:eastAsia="zh-CN"/>
        </w:rPr>
        <w:t>中任一参保地职工实缴年限</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不计互认年限，下同</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达到当地退休不缴费享受医保待遇规定条件</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以下简称年限规定</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的，</w:t>
      </w:r>
      <w:r>
        <w:rPr>
          <w:rFonts w:hint="eastAsia" w:ascii="Times New Roman" w:hAnsi="Times New Roman" w:eastAsia="方正仿宋_GBK" w:cs="Times New Roman"/>
          <w:color w:val="auto"/>
          <w:sz w:val="32"/>
          <w:szCs w:val="32"/>
          <w:u w:val="none"/>
          <w:lang w:eastAsia="zh-CN"/>
        </w:rPr>
        <w:t>可</w:t>
      </w:r>
      <w:r>
        <w:rPr>
          <w:rFonts w:hint="eastAsia" w:ascii="Times New Roman" w:hAnsi="Times New Roman" w:eastAsia="方正仿宋_GBK" w:cs="Times New Roman"/>
          <w:color w:val="auto"/>
          <w:sz w:val="32"/>
          <w:szCs w:val="32"/>
          <w:u w:val="none"/>
          <w:lang w:val="en-US" w:eastAsia="zh-CN"/>
        </w:rPr>
        <w:t>在达到年限规定的曾参保地中，</w:t>
      </w:r>
      <w:r>
        <w:rPr>
          <w:rFonts w:hint="eastAsia" w:ascii="Times New Roman" w:hAnsi="Times New Roman" w:eastAsia="方正仿宋_GBK" w:cs="Times New Roman"/>
          <w:color w:val="auto"/>
          <w:sz w:val="32"/>
          <w:szCs w:val="32"/>
          <w:u w:val="none"/>
          <w:lang w:eastAsia="zh-CN"/>
        </w:rPr>
        <w:t>确定</w:t>
      </w:r>
      <w:r>
        <w:rPr>
          <w:rFonts w:hint="default" w:ascii="Times New Roman" w:hAnsi="Times New Roman" w:eastAsia="方正仿宋_GBK" w:cs="Times New Roman"/>
          <w:color w:val="auto"/>
          <w:sz w:val="32"/>
          <w:szCs w:val="32"/>
          <w:u w:val="none"/>
        </w:rPr>
        <w:t>一地</w:t>
      </w:r>
      <w:r>
        <w:rPr>
          <w:rFonts w:hint="eastAsia" w:ascii="Times New Roman" w:hAnsi="Times New Roman" w:eastAsia="方正仿宋_GBK" w:cs="Times New Roman"/>
          <w:color w:val="auto"/>
          <w:sz w:val="32"/>
          <w:szCs w:val="32"/>
          <w:u w:val="none"/>
          <w:lang w:val="en-US" w:eastAsia="zh-CN"/>
        </w:rPr>
        <w:t>办理医保退休认定</w:t>
      </w:r>
      <w:r>
        <w:rPr>
          <w:rFonts w:hint="default" w:ascii="Times New Roman" w:hAnsi="Times New Roman" w:eastAsia="方正仿宋_GBK" w:cs="Times New Roman"/>
          <w:color w:val="auto"/>
          <w:sz w:val="32"/>
          <w:szCs w:val="32"/>
          <w:u w:val="none"/>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u w:val="none"/>
          <w:lang w:eastAsia="zh-CN"/>
        </w:rPr>
      </w:pP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二</w:t>
      </w:r>
      <w:r>
        <w:rPr>
          <w:rFonts w:hint="eastAsia" w:ascii="Times New Roman" w:hAnsi="Times New Roman" w:eastAsia="方正仿宋_GBK" w:cs="Times New Roman"/>
          <w:color w:val="auto"/>
          <w:sz w:val="32"/>
          <w:szCs w:val="32"/>
          <w:u w:val="none"/>
          <w:lang w:eastAsia="zh-CN"/>
        </w:rPr>
        <w:t>）医保</w:t>
      </w:r>
      <w:r>
        <w:rPr>
          <w:rFonts w:hint="eastAsia" w:ascii="Times New Roman" w:hAnsi="Times New Roman" w:eastAsia="方正仿宋_GBK" w:cs="Times New Roman"/>
          <w:color w:val="auto"/>
          <w:sz w:val="32"/>
          <w:szCs w:val="32"/>
          <w:u w:val="none"/>
          <w:lang w:val="en-US" w:eastAsia="zh-CN"/>
        </w:rPr>
        <w:t>退休认定时，</w:t>
      </w:r>
      <w:r>
        <w:rPr>
          <w:rFonts w:hint="default" w:ascii="Times New Roman" w:hAnsi="Times New Roman" w:eastAsia="方正仿宋_GBK" w:cs="Times New Roman"/>
          <w:color w:val="auto"/>
          <w:sz w:val="32"/>
          <w:szCs w:val="32"/>
          <w:u w:val="none"/>
        </w:rPr>
        <w:t>在成渝两地的</w:t>
      </w:r>
      <w:r>
        <w:rPr>
          <w:rFonts w:hint="eastAsia" w:ascii="Times New Roman" w:hAnsi="Times New Roman" w:eastAsia="方正仿宋_GBK" w:cs="Times New Roman"/>
          <w:color w:val="auto"/>
          <w:sz w:val="32"/>
          <w:szCs w:val="32"/>
          <w:u w:val="none"/>
          <w:lang w:val="en-US" w:eastAsia="zh-CN"/>
        </w:rPr>
        <w:t>实际</w:t>
      </w:r>
      <w:r>
        <w:rPr>
          <w:rFonts w:hint="default" w:ascii="Times New Roman" w:hAnsi="Times New Roman" w:eastAsia="方正仿宋_GBK" w:cs="Times New Roman"/>
          <w:color w:val="auto"/>
          <w:sz w:val="32"/>
          <w:szCs w:val="32"/>
          <w:u w:val="none"/>
        </w:rPr>
        <w:t>缴费年限均未达到当地</w:t>
      </w:r>
      <w:r>
        <w:rPr>
          <w:rFonts w:hint="eastAsia" w:ascii="Times New Roman" w:hAnsi="Times New Roman" w:eastAsia="方正仿宋_GBK" w:cs="Times New Roman"/>
          <w:color w:val="auto"/>
          <w:sz w:val="32"/>
          <w:szCs w:val="32"/>
          <w:u w:val="none"/>
          <w:lang w:val="en-US" w:eastAsia="zh-CN"/>
        </w:rPr>
        <w:t>年限</w:t>
      </w:r>
      <w:r>
        <w:rPr>
          <w:rFonts w:hint="default" w:ascii="Times New Roman" w:hAnsi="Times New Roman" w:eastAsia="方正仿宋_GBK" w:cs="Times New Roman"/>
          <w:color w:val="auto"/>
          <w:sz w:val="32"/>
          <w:szCs w:val="32"/>
          <w:u w:val="none"/>
        </w:rPr>
        <w:t>规定</w:t>
      </w:r>
      <w:r>
        <w:rPr>
          <w:rFonts w:hint="eastAsia" w:ascii="Times New Roman" w:hAnsi="Times New Roman" w:eastAsia="方正仿宋_GBK" w:cs="Times New Roman"/>
          <w:color w:val="auto"/>
          <w:sz w:val="32"/>
          <w:szCs w:val="32"/>
          <w:u w:val="none"/>
          <w:lang w:val="en-US" w:eastAsia="zh-CN"/>
        </w:rPr>
        <w:t>，但成渝两地互认的职工实缴年限合并计算后累计达到20年的，应在职工实缴年限最长的曾参保地享受退休后职工医保待遇（实缴年限相同时由参保人自愿选择）</w:t>
      </w:r>
      <w:r>
        <w:rPr>
          <w:rFonts w:hint="eastAsia" w:ascii="Times New Roman" w:hAnsi="Times New Roman" w:eastAsia="方正仿宋_GBK" w:cs="Times New Roman"/>
          <w:color w:val="auto"/>
          <w:sz w:val="32"/>
          <w:szCs w:val="32"/>
          <w:u w:val="none"/>
          <w:lang w:eastAsia="zh-CN"/>
        </w:rPr>
        <w:t>。</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eastAsia" w:ascii="Times New Roman" w:hAnsi="Times New Roman" w:eastAsia="方正仿宋_GBK" w:cs="Times New Roman"/>
          <w:color w:val="auto"/>
          <w:sz w:val="32"/>
          <w:szCs w:val="32"/>
          <w:u w:val="none"/>
          <w:lang w:val="en-US" w:eastAsia="zh-CN"/>
        </w:rPr>
      </w:pP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三</w:t>
      </w:r>
      <w:r>
        <w:rPr>
          <w:rFonts w:hint="eastAsia" w:ascii="Times New Roman" w:hAnsi="Times New Roman" w:eastAsia="方正仿宋_GBK" w:cs="Times New Roman"/>
          <w:color w:val="auto"/>
          <w:sz w:val="32"/>
          <w:szCs w:val="32"/>
          <w:u w:val="none"/>
          <w:lang w:eastAsia="zh-CN"/>
        </w:rPr>
        <w:t>）</w:t>
      </w:r>
      <w:r>
        <w:rPr>
          <w:rFonts w:hint="default" w:ascii="Times New Roman" w:hAnsi="Times New Roman" w:eastAsia="方正仿宋_GBK" w:cs="Times New Roman"/>
          <w:color w:val="auto"/>
          <w:sz w:val="32"/>
          <w:szCs w:val="32"/>
          <w:u w:val="none"/>
        </w:rPr>
        <w:t>在成渝两地的</w:t>
      </w:r>
      <w:r>
        <w:rPr>
          <w:rFonts w:hint="eastAsia" w:ascii="Times New Roman" w:hAnsi="Times New Roman" w:eastAsia="方正仿宋_GBK" w:cs="Times New Roman"/>
          <w:color w:val="auto"/>
          <w:sz w:val="32"/>
          <w:szCs w:val="32"/>
          <w:u w:val="none"/>
          <w:lang w:eastAsia="zh-CN"/>
        </w:rPr>
        <w:t>职工</w:t>
      </w:r>
      <w:r>
        <w:rPr>
          <w:rFonts w:hint="eastAsia" w:ascii="Times New Roman" w:hAnsi="Times New Roman" w:eastAsia="方正仿宋_GBK" w:cs="Times New Roman"/>
          <w:color w:val="auto"/>
          <w:sz w:val="32"/>
          <w:szCs w:val="32"/>
          <w:u w:val="none"/>
          <w:lang w:val="en-US" w:eastAsia="zh-CN"/>
        </w:rPr>
        <w:t>实</w:t>
      </w:r>
      <w:r>
        <w:rPr>
          <w:rFonts w:hint="default" w:ascii="Times New Roman" w:hAnsi="Times New Roman" w:eastAsia="方正仿宋_GBK" w:cs="Times New Roman"/>
          <w:color w:val="auto"/>
          <w:sz w:val="32"/>
          <w:szCs w:val="32"/>
          <w:u w:val="none"/>
        </w:rPr>
        <w:t>缴年限均未达到当地</w:t>
      </w:r>
      <w:r>
        <w:rPr>
          <w:rFonts w:hint="eastAsia" w:ascii="Times New Roman" w:hAnsi="Times New Roman" w:eastAsia="方正仿宋_GBK" w:cs="Times New Roman"/>
          <w:color w:val="auto"/>
          <w:sz w:val="32"/>
          <w:szCs w:val="32"/>
          <w:u w:val="none"/>
          <w:lang w:val="en-US" w:eastAsia="zh-CN"/>
        </w:rPr>
        <w:t>年限</w:t>
      </w:r>
      <w:r>
        <w:rPr>
          <w:rFonts w:hint="default" w:ascii="Times New Roman" w:hAnsi="Times New Roman" w:eastAsia="方正仿宋_GBK" w:cs="Times New Roman"/>
          <w:color w:val="auto"/>
          <w:sz w:val="32"/>
          <w:szCs w:val="32"/>
          <w:u w:val="none"/>
        </w:rPr>
        <w:t>规定</w:t>
      </w:r>
      <w:r>
        <w:rPr>
          <w:rFonts w:hint="eastAsia" w:ascii="Times New Roman" w:hAnsi="Times New Roman" w:eastAsia="方正仿宋_GBK" w:cs="Times New Roman"/>
          <w:color w:val="auto"/>
          <w:sz w:val="32"/>
          <w:szCs w:val="32"/>
          <w:u w:val="none"/>
          <w:lang w:val="en-US" w:eastAsia="zh-CN"/>
        </w:rPr>
        <w:t>的，且成渝两地互认的职工实缴年限合并计算后累计也未达到20年的，可在职工实缴年限最长的曾参保地（实缴年限相同时由参保人自愿选择），按当地规定补缴至成渝两地互认的职工实缴年限合并计算后累计达到20年。</w:t>
      </w:r>
    </w:p>
    <w:p>
      <w:pPr>
        <w:keepNext w:val="0"/>
        <w:keepLines w:val="0"/>
        <w:pageBreakBefore w:val="0"/>
        <w:widowControl w:val="0"/>
        <w:kinsoku/>
        <w:wordWrap/>
        <w:overflowPunct w:val="0"/>
        <w:topLinePunct w:val="0"/>
        <w:autoSpaceDE/>
        <w:autoSpaceDN/>
        <w:bidi w:val="0"/>
        <w:adjustRightInd/>
        <w:snapToGrid/>
        <w:spacing w:after="0" w:line="620" w:lineRule="exact"/>
        <w:jc w:val="both"/>
        <w:textAlignment w:val="auto"/>
        <w:rPr>
          <w:rFonts w:hint="default" w:ascii="Times New Roman" w:hAnsi="Times New Roman" w:eastAsia="仿宋_GB2312" w:cs="Times New Roman"/>
          <w:color w:val="auto"/>
          <w:kern w:val="2"/>
          <w:sz w:val="32"/>
          <w:szCs w:val="22"/>
          <w:lang w:val="en-US" w:eastAsia="zh-CN" w:bidi="ar-SA"/>
        </w:rPr>
      </w:pPr>
      <w:r>
        <w:rPr>
          <w:rFonts w:hint="eastAsia" w:ascii="Times New Roman" w:hAnsi="Times New Roman" w:eastAsia="方正仿宋_GBK" w:cs="Times New Roman"/>
          <w:color w:val="auto"/>
          <w:kern w:val="2"/>
          <w:sz w:val="32"/>
          <w:szCs w:val="32"/>
          <w:u w:val="none"/>
          <w:lang w:val="en-US" w:eastAsia="zh-CN" w:bidi="ar-SA"/>
        </w:rPr>
        <w:t xml:space="preserve">    （四）以统账结合方式参加职工医保的实际缴费年限全部计入职工实缴年限累计计算范围。以单建统筹方式参加职工医保的实际缴费年限，可自愿选择按医保退休认定办理地当地规</w:t>
      </w:r>
      <w:r>
        <w:rPr>
          <w:rFonts w:hint="eastAsia" w:ascii="Times New Roman" w:hAnsi="Times New Roman" w:eastAsia="方正仿宋_GBK" w:cs="Times New Roman"/>
          <w:color w:val="auto"/>
          <w:spacing w:val="6"/>
          <w:kern w:val="2"/>
          <w:sz w:val="32"/>
          <w:szCs w:val="32"/>
          <w:u w:val="none"/>
          <w:lang w:val="en-US" w:eastAsia="zh-CN" w:bidi="ar-SA"/>
        </w:rPr>
        <w:t>定补缴与统账结合方式差额后，计入职工实缴年限累计计算范围。</w:t>
      </w:r>
    </w:p>
    <w:p>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jc w:val="both"/>
        <w:textAlignment w:val="auto"/>
        <w:rPr>
          <w:rFonts w:hint="default" w:ascii="Times New Roman" w:hAnsi="Times New Roman" w:eastAsia="方正仿宋_GBK" w:cs="Times New Roman"/>
          <w:color w:val="auto"/>
          <w:sz w:val="32"/>
          <w:szCs w:val="32"/>
          <w:u w:val="none"/>
        </w:rPr>
      </w:pPr>
      <w:r>
        <w:rPr>
          <w:rFonts w:hint="eastAsia" w:ascii="方正黑体_GBK" w:hAnsi="方正黑体_GBK" w:eastAsia="方正黑体_GBK" w:cs="方正黑体_GBK"/>
          <w:b w:val="0"/>
          <w:bCs w:val="0"/>
          <w:color w:val="auto"/>
          <w:sz w:val="32"/>
          <w:szCs w:val="32"/>
          <w:u w:val="none"/>
          <w:lang w:val="en-US" w:eastAsia="zh-CN"/>
        </w:rPr>
        <w:t xml:space="preserve">第六条 </w:t>
      </w:r>
      <w:r>
        <w:rPr>
          <w:rFonts w:hint="eastAsia" w:ascii="Times New Roman" w:hAnsi="Times New Roman" w:eastAsia="方正仿宋_GBK" w:cs="Times New Roman"/>
          <w:b w:val="0"/>
          <w:bCs w:val="0"/>
          <w:color w:val="auto"/>
          <w:sz w:val="32"/>
          <w:szCs w:val="32"/>
          <w:u w:val="none"/>
          <w:lang w:val="en-US" w:eastAsia="zh-CN"/>
        </w:rPr>
        <w:t>成渝两地医保部门应共同防范两地基金支出风险，确保统筹地区基金收支相对平衡。</w:t>
      </w:r>
    </w:p>
    <w:p>
      <w:pPr>
        <w:keepNext w:val="0"/>
        <w:keepLines w:val="0"/>
        <w:pageBreakBefore w:val="0"/>
        <w:widowControl w:val="0"/>
        <w:kinsoku/>
        <w:wordWrap/>
        <w:overflowPunct w:val="0"/>
        <w:topLinePunct w:val="0"/>
        <w:autoSpaceDE/>
        <w:autoSpaceDN/>
        <w:bidi w:val="0"/>
        <w:adjustRightInd/>
        <w:snapToGrid/>
        <w:spacing w:after="0" w:line="620" w:lineRule="exact"/>
        <w:jc w:val="both"/>
        <w:textAlignment w:val="auto"/>
        <w:rPr>
          <w:rFonts w:hint="eastAsia" w:ascii="Times New Roman" w:hAnsi="Times New Roman" w:eastAsia="方正仿宋_GBK" w:cs="Times New Roman"/>
          <w:color w:val="auto"/>
          <w:kern w:val="2"/>
          <w:sz w:val="32"/>
          <w:szCs w:val="22"/>
          <w:u w:val="none"/>
          <w:lang w:val="en-US" w:eastAsia="zh-CN" w:bidi="ar-SA"/>
        </w:rPr>
      </w:pPr>
      <w:r>
        <w:rPr>
          <w:rFonts w:hint="eastAsia" w:ascii="方正黑体_GBK" w:hAnsi="方正黑体_GBK" w:eastAsia="方正黑体_GBK" w:cs="方正黑体_GBK"/>
          <w:b w:val="0"/>
          <w:bCs w:val="0"/>
          <w:color w:val="auto"/>
          <w:kern w:val="2"/>
          <w:sz w:val="32"/>
          <w:szCs w:val="32"/>
          <w:u w:val="none"/>
          <w:lang w:val="en-US" w:eastAsia="zh-CN" w:bidi="ar-SA"/>
        </w:rPr>
        <w:t xml:space="preserve">    第七条</w:t>
      </w:r>
      <w:r>
        <w:rPr>
          <w:rFonts w:hint="eastAsia" w:ascii="Times New Roman" w:hAnsi="Times New Roman" w:eastAsia="方正仿宋_GBK" w:cs="Times New Roman"/>
          <w:color w:val="auto"/>
          <w:kern w:val="2"/>
          <w:sz w:val="32"/>
          <w:szCs w:val="32"/>
          <w:u w:val="none"/>
          <w:lang w:val="en-US" w:eastAsia="zh-CN" w:bidi="ar-SA"/>
        </w:rPr>
        <w:t xml:space="preserve"> 本办法为成渝两地职工基本医疗保险现行政策的附加政策，成渝两地职工可自愿选择享受本办法所述政策，也可选择按成渝两地本地现行职工基本医疗保险相关政策办理医保</w:t>
      </w:r>
      <w:r>
        <w:rPr>
          <w:rFonts w:hint="default" w:ascii="Times New Roman" w:hAnsi="Times New Roman" w:eastAsia="方正仿宋_GBK" w:cs="Times New Roman"/>
          <w:color w:val="auto"/>
          <w:kern w:val="2"/>
          <w:sz w:val="32"/>
          <w:szCs w:val="32"/>
          <w:u w:val="none"/>
          <w:lang w:val="en-US" w:eastAsia="zh-CN" w:bidi="ar-SA"/>
        </w:rPr>
        <w:t>退休</w:t>
      </w:r>
      <w:r>
        <w:rPr>
          <w:rFonts w:hint="eastAsia" w:ascii="Times New Roman" w:hAnsi="Times New Roman" w:eastAsia="方正仿宋_GBK" w:cs="Times New Roman"/>
          <w:color w:val="auto"/>
          <w:kern w:val="2"/>
          <w:sz w:val="32"/>
          <w:szCs w:val="32"/>
          <w:u w:val="none"/>
          <w:lang w:val="en-US" w:eastAsia="zh-CN" w:bidi="ar-SA"/>
        </w:rPr>
        <w:t>认定；选定后原则上不得更改。</w:t>
      </w:r>
    </w:p>
    <w:p>
      <w:pPr>
        <w:keepNext w:val="0"/>
        <w:keepLines w:val="0"/>
        <w:pageBreakBefore w:val="0"/>
        <w:widowControl w:val="0"/>
        <w:kinsoku/>
        <w:wordWrap/>
        <w:overflowPunct w:val="0"/>
        <w:topLinePunct w:val="0"/>
        <w:autoSpaceDE/>
        <w:autoSpaceDN/>
        <w:bidi w:val="0"/>
        <w:adjustRightInd/>
        <w:snapToGrid/>
        <w:spacing w:line="600" w:lineRule="exact"/>
        <w:ind w:firstLine="640" w:firstLineChars="200"/>
        <w:jc w:val="both"/>
        <w:textAlignment w:val="auto"/>
        <w:rPr>
          <w:rFonts w:hint="default" w:ascii="Times New Roman" w:hAnsi="Times New Roman" w:eastAsia="方正仿宋_GBK" w:cs="Times New Roman"/>
          <w:color w:val="auto"/>
          <w:sz w:val="32"/>
          <w:szCs w:val="32"/>
          <w:u w:val="none"/>
          <w:lang w:val="en-US" w:eastAsia="zh-CN"/>
        </w:rPr>
      </w:pPr>
      <w:r>
        <w:rPr>
          <w:rFonts w:hint="default" w:ascii="方正黑体_GBK" w:hAnsi="方正黑体_GBK" w:eastAsia="方正黑体_GBK" w:cs="方正黑体_GBK"/>
          <w:b w:val="0"/>
          <w:bCs w:val="0"/>
          <w:color w:val="auto"/>
          <w:sz w:val="32"/>
          <w:szCs w:val="32"/>
          <w:u w:val="none"/>
        </w:rPr>
        <w:t>第</w:t>
      </w:r>
      <w:r>
        <w:rPr>
          <w:rFonts w:hint="eastAsia" w:ascii="方正黑体_GBK" w:hAnsi="方正黑体_GBK" w:eastAsia="方正黑体_GBK" w:cs="方正黑体_GBK"/>
          <w:b w:val="0"/>
          <w:bCs w:val="0"/>
          <w:color w:val="auto"/>
          <w:sz w:val="32"/>
          <w:szCs w:val="32"/>
          <w:u w:val="none"/>
          <w:lang w:eastAsia="zh-CN"/>
        </w:rPr>
        <w:t>八</w:t>
      </w:r>
      <w:r>
        <w:rPr>
          <w:rFonts w:hint="default" w:ascii="方正黑体_GBK" w:hAnsi="方正黑体_GBK" w:eastAsia="方正黑体_GBK" w:cs="方正黑体_GBK"/>
          <w:b w:val="0"/>
          <w:bCs w:val="0"/>
          <w:color w:val="auto"/>
          <w:sz w:val="32"/>
          <w:szCs w:val="32"/>
          <w:u w:val="none"/>
        </w:rPr>
        <w:t>条</w:t>
      </w:r>
      <w:r>
        <w:rPr>
          <w:rFonts w:hint="default" w:ascii="Times New Roman" w:hAnsi="Times New Roman" w:eastAsia="方正仿宋_GBK" w:cs="Times New Roman"/>
          <w:color w:val="auto"/>
          <w:sz w:val="32"/>
          <w:szCs w:val="32"/>
          <w:u w:val="none"/>
        </w:rPr>
        <w:t xml:space="preserve"> 本办法从</w:t>
      </w:r>
      <w:r>
        <w:rPr>
          <w:rFonts w:hint="eastAsia" w:ascii="Times New Roman" w:hAnsi="Times New Roman" w:eastAsia="方正仿宋_GBK" w:cs="Times New Roman"/>
          <w:color w:val="auto"/>
          <w:sz w:val="32"/>
          <w:szCs w:val="32"/>
          <w:u w:val="none"/>
          <w:lang w:val="en-US" w:eastAsia="zh-CN"/>
        </w:rPr>
        <w:t>2024年3月1</w:t>
      </w:r>
      <w:r>
        <w:rPr>
          <w:rFonts w:hint="default" w:ascii="Times New Roman" w:hAnsi="Times New Roman" w:eastAsia="方正仿宋_GBK" w:cs="Times New Roman"/>
          <w:color w:val="auto"/>
          <w:sz w:val="32"/>
          <w:szCs w:val="32"/>
          <w:u w:val="none"/>
        </w:rPr>
        <w:t>日</w:t>
      </w:r>
      <w:r>
        <w:rPr>
          <w:rFonts w:hint="eastAsia" w:ascii="Times New Roman" w:hAnsi="Times New Roman" w:eastAsia="方正仿宋_GBK" w:cs="Times New Roman"/>
          <w:color w:val="auto"/>
          <w:sz w:val="32"/>
          <w:szCs w:val="32"/>
          <w:u w:val="none"/>
          <w:lang w:val="en-US" w:eastAsia="zh-CN"/>
        </w:rPr>
        <w:t>起施行，有效期2年，本办法实施前已办理医保退休认定的，不适用于本办法</w:t>
      </w:r>
      <w:r>
        <w:rPr>
          <w:rFonts w:hint="eastAsia" w:ascii="Times New Roman" w:hAnsi="Times New Roman" w:eastAsia="方正仿宋_GBK" w:cs="Times New Roman"/>
          <w:color w:val="auto"/>
          <w:sz w:val="32"/>
          <w:szCs w:val="32"/>
          <w:u w:val="none"/>
          <w:lang w:eastAsia="zh-CN"/>
        </w:rPr>
        <w:t>。</w:t>
      </w:r>
      <w:r>
        <w:rPr>
          <w:rFonts w:hint="eastAsia" w:ascii="Times New Roman" w:hAnsi="Times New Roman" w:eastAsia="方正仿宋_GBK" w:cs="Times New Roman"/>
          <w:color w:val="auto"/>
          <w:sz w:val="32"/>
          <w:szCs w:val="32"/>
          <w:u w:val="none"/>
          <w:lang w:val="en-US" w:eastAsia="zh-CN"/>
        </w:rPr>
        <w:t>本办法具体应用中的问题由重庆市、成都市医疗保障局共同负责解释。</w:t>
      </w:r>
    </w:p>
    <w:p>
      <w:pPr>
        <w:rPr>
          <w:rFonts w:ascii="Times New Roman" w:hAnsi="Times New Roman" w:eastAsia="仿宋_GB2312" w:cs="Times New Roman"/>
          <w:color w:val="auto"/>
          <w:sz w:val="32"/>
          <w:szCs w:val="22"/>
        </w:rPr>
      </w:pPr>
    </w:p>
    <w:p>
      <w:pPr>
        <w:keepNext/>
        <w:keepLines/>
        <w:widowControl w:val="0"/>
        <w:spacing w:before="340" w:after="330" w:line="578" w:lineRule="auto"/>
        <w:jc w:val="both"/>
        <w:outlineLvl w:val="0"/>
        <w:rPr>
          <w:rFonts w:ascii="Times New Roman" w:hAnsi="Times New Roman" w:eastAsia="仿宋_GB2312" w:cs="Times New Roman"/>
          <w:color w:val="auto"/>
          <w:kern w:val="2"/>
          <w:sz w:val="32"/>
          <w:szCs w:val="22"/>
          <w:lang w:val="en-US" w:eastAsia="zh-CN" w:bidi="ar-SA"/>
        </w:rPr>
      </w:pPr>
    </w:p>
    <w:p>
      <w:pPr>
        <w:rPr>
          <w:rFonts w:eastAsia="宋体" w:cs="Times New Roman"/>
          <w:szCs w:val="24"/>
        </w:rPr>
      </w:pPr>
    </w:p>
    <w:p>
      <w:pPr>
        <w:keepNext/>
        <w:keepLines/>
        <w:widowControl w:val="0"/>
        <w:spacing w:before="340" w:after="330" w:line="578" w:lineRule="auto"/>
        <w:jc w:val="both"/>
        <w:outlineLvl w:val="0"/>
        <w:rPr>
          <w:rFonts w:hint="eastAsia" w:ascii="Times New Roman" w:hAnsi="Calibri" w:eastAsia="宋体" w:cs="Times New Roman"/>
          <w:kern w:val="2"/>
          <w:sz w:val="18"/>
          <w:szCs w:val="24"/>
          <w:lang w:val="en-US" w:eastAsia="zh-CN" w:bidi="ar-SA"/>
        </w:rPr>
      </w:pPr>
    </w:p>
    <w:p>
      <w:pPr>
        <w:rPr>
          <w:rFonts w:hint="eastAsia" w:eastAsia="宋体" w:cs="Times New Roman"/>
          <w:szCs w:val="24"/>
        </w:rPr>
      </w:pPr>
    </w:p>
    <w:p>
      <w:pPr>
        <w:keepNext/>
        <w:keepLines/>
        <w:widowControl w:val="0"/>
        <w:spacing w:before="340" w:after="330" w:line="578" w:lineRule="auto"/>
        <w:jc w:val="both"/>
        <w:outlineLvl w:val="0"/>
        <w:rPr>
          <w:rFonts w:hint="eastAsia" w:ascii="Times New Roman" w:hAnsi="Calibri" w:eastAsia="宋体" w:cs="Times New Roman"/>
          <w:kern w:val="2"/>
          <w:sz w:val="18"/>
          <w:szCs w:val="24"/>
          <w:lang w:val="en-US" w:eastAsia="zh-CN" w:bidi="ar-SA"/>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jc w:val="right"/>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rPr>
          <w:rFonts w:ascii="Times New Roman" w:hAnsi="Times New Roman" w:eastAsia="仿宋_GB2312" w:cs="Times New Roman"/>
          <w:vanish/>
          <w:sz w:val="32"/>
          <w:szCs w:val="32"/>
        </w:rPr>
      </w:pPr>
    </w:p>
    <w:p>
      <w:pPr>
        <w:snapToGrid w:val="0"/>
        <w:spacing w:line="15" w:lineRule="auto"/>
        <w:rPr>
          <w:rFonts w:ascii="Times New Roman" w:hAnsi="Times New Roman" w:eastAsia="仿宋_GB2312" w:cs="Times New Roman"/>
          <w:vanish/>
          <w:sz w:val="32"/>
          <w:szCs w:val="32"/>
        </w:rPr>
      </w:pPr>
    </w:p>
    <w:p>
      <w:pPr>
        <w:rPr>
          <w:rFonts w:hint="eastAsia" w:ascii="Times New Roman" w:hAnsi="Times New Roman" w:eastAsia="仿宋_GB2312" w:cs="Times New Roman"/>
          <w:vanish/>
          <w:sz w:val="32"/>
          <w:szCs w:val="3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jc w:val="right"/>
        <w:rPr>
          <w:rFonts w:eastAsia="宋体" w:cs="Times New Roman"/>
          <w:vanish/>
          <w:sz w:val="21"/>
          <w:szCs w:val="22"/>
        </w:rPr>
      </w:pPr>
      <w:bookmarkStart w:id="0" w:name="公章"/>
      <w:bookmarkEnd w:id="0"/>
    </w:p>
    <w:p>
      <w:pPr>
        <w:rPr>
          <w:rFonts w:eastAsia="宋体" w:cs="Times New Roman"/>
          <w:vanish/>
          <w:sz w:val="21"/>
          <w:szCs w:val="22"/>
        </w:rPr>
      </w:pPr>
    </w:p>
    <w:p>
      <w:pPr>
        <w:rPr>
          <w:rFonts w:eastAsia="宋体" w:cs="Times New Roman"/>
          <w:vanish/>
          <w:sz w:val="21"/>
          <w:szCs w:val="22"/>
        </w:rPr>
      </w:pPr>
    </w:p>
    <w:p>
      <w:pPr>
        <w:rPr>
          <w:rFonts w:eastAsia="宋体" w:cs="Times New Roman"/>
          <w:vanish/>
          <w:sz w:val="21"/>
          <w:szCs w:val="22"/>
        </w:rPr>
      </w:pPr>
    </w:p>
    <w:p>
      <w:pPr>
        <w:rPr>
          <w:rFonts w:ascii="方正仿宋_GBK" w:eastAsia="方正仿宋_GBK" w:cs="Times New Roman"/>
          <w:vanish/>
          <w:sz w:val="21"/>
          <w:szCs w:val="22"/>
        </w:rPr>
      </w:pPr>
    </w:p>
    <w:p>
      <w:pPr>
        <w:rPr>
          <w:rFonts w:eastAsia="宋体" w:cs="Times New Roman"/>
          <w:vanish/>
          <w:sz w:val="21"/>
          <w:szCs w:val="24"/>
        </w:rPr>
      </w:pPr>
    </w:p>
    <w:p>
      <w:pPr>
        <w:rPr>
          <w:vanish/>
        </w:rPr>
      </w:pPr>
    </w:p>
    <w:p>
      <w:pPr>
        <w:rPr>
          <w:vanish/>
        </w:rPr>
      </w:pPr>
    </w:p>
    <w:p>
      <w:pPr>
        <w:rPr>
          <w:vanish/>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pStyle w:val="3"/>
        <w:snapToGrid w:val="0"/>
        <w:spacing w:line="144" w:lineRule="auto"/>
        <w:rPr>
          <w:rFonts w:eastAsia="方正仿宋_GBK" w:cs="方正仿宋_GBK"/>
          <w:vanish/>
          <w:sz w:val="32"/>
        </w:rPr>
      </w:pPr>
    </w:p>
    <w:p>
      <w:pPr>
        <w:rPr>
          <w:vanish/>
        </w:rPr>
      </w:pPr>
    </w:p>
    <w:p>
      <w:pPr>
        <w:rPr>
          <w:vanish/>
        </w:rPr>
      </w:pPr>
    </w:p>
    <w:p>
      <w:pPr>
        <w:rPr>
          <w:vanish/>
        </w:rPr>
      </w:pPr>
    </w:p>
    <w:p>
      <w:pPr>
        <w:rPr>
          <w:vanish/>
        </w:rPr>
      </w:pPr>
    </w:p>
    <w:p>
      <w:pPr>
        <w:rPr>
          <w:vanish/>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Lines="100"/>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-120015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9.45pt;height:144pt;width:144pt;mso-position-horizontal:outside;mso-position-horizontal-relative:margin;mso-wrap-style:none;z-index:251659264;mso-width-relative:page;mso-height-relative:page;" filled="f" stroked="f" coordsize="21600,21600" o:gfxdata="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DFAdLMwwERKfenR&#10;Cu2+HfjsTXEGTWf6OfGWb2qUsmU+PDCHwUD5eDrhHkspDVKawaKkMu7Lv85jPPoFLyUNBi2nGu+K&#10;Evleo48ADKPhRmM/Gvqo7gwmF71BLZ2JCy7I0SydUZ/xnlYxB1xMc2TKaRjNu9APO94jF6tVF3S0&#10;rj5U/QVMoWVhq3eWxzRRKm9XxwBpO8WjQL0q6FTcYA67ng1vJg76n/su6vE/sf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DvatC9UAAAAIAQAADwAAAAAAAAABACAAAAAiAAAAZHJzL2Rvd25yZXYu&#10;eG1sUEsBAhQAFAAAAAgAh07iQL10G3Y3AgAAbwQAAA4AAAAAAAAAAQAgAAAAJAEAAGRycy9lMm9E&#10;b2MueG1sUEsFBgAAAAAGAAYAWQEAAM0FAAAAAA==&#10;">
              <v:fill on="f" focussize="0,0"/>
              <v:stroke on="f" weight="0.5pt"/>
              <v:imagedata o:title=""/>
              <o:lock v:ext="edit" aspectratio="f"/>
              <v:textbox inset="0mm,0mm,0mm,0mm" style="mso-fit-shape-to-text:t;">
                <w:txbxContent>
                  <w:p>
                    <w:pPr>
                      <w:pStyle w:val="5"/>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r>
      <w:rPr>
        <w:rFonts w:ascii="宋体" w:hAnsi="宋体" w:cs="宋体"/>
        <w:b/>
        <w:bCs/>
        <w:color w:val="005192"/>
        <w:sz w:val="28"/>
        <w:szCs w:val="44"/>
        <w:lang w:val="en-US"/>
      </w:rPr>
      <mc:AlternateContent>
        <mc:Choice Requires="wps">
          <w:drawing>
            <wp:anchor distT="0" distB="0" distL="114300" distR="114300" simplePos="0" relativeHeight="251661312" behindDoc="0" locked="0" layoutInCell="1" allowOverlap="1">
              <wp:simplePos x="0" y="0"/>
              <wp:positionH relativeFrom="column">
                <wp:posOffset>15240</wp:posOffset>
              </wp:positionH>
              <wp:positionV relativeFrom="paragraph">
                <wp:posOffset>136525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1.2pt;margin-top:10.75pt;height:0.15pt;width:442.25pt;z-index:251661312;mso-width-relative:page;mso-height-relative:page;" filled="f" stroked="t" coordsize="21600,21600" o:gfxdata="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U66U1AAAAAc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rPr>
      <w:t>重庆市医疗保障局发布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Lines="150"/>
      <w:jc w:val="left"/>
    </w:pPr>
    <w:r>
      <w:rPr>
        <w:rFonts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675005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0" y="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6pt;margin-top:53.15pt;height:0pt;width:442.55pt;z-index:251660288;mso-width-relative:page;mso-height-relative:page;" filled="f" stroked="t" coordsize="21600,21600" o:gfxdata="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16xMIdIA&#10;AAAJAQAADwAAAAAAAAABACAAAAAiAAAAZHJzL2Rvd25yZXYueG1sUEsBAhQAFAAAAAgAh07iQLOJ&#10;ui7sAQAAwAMAAA4AAAAAAAAAAQAgAAAAIQEAAGRycy9lMm9Eb2MueG1sUEsFBgAAAAAGAAYAWQEA&#10;AH8FA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32"/>
        <w:lang w:val="en-US"/>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val="en-US"/>
      </w:rPr>
      <w:t>重庆市医疗保障局</w:t>
    </w:r>
    <w:r>
      <w:rPr>
        <w:rFonts w:hint="eastAsia" w:ascii="宋体" w:hAnsi="宋体" w:cs="宋体"/>
        <w:b/>
        <w:bCs/>
        <w:color w:val="005192"/>
        <w:sz w:val="32"/>
        <w:szCs w:val="32"/>
        <w:lang w:val="en-U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D59F1"/>
    <w:rsid w:val="001B29FD"/>
    <w:rsid w:val="001E62AC"/>
    <w:rsid w:val="00256583"/>
    <w:rsid w:val="00287718"/>
    <w:rsid w:val="002958C0"/>
    <w:rsid w:val="00336BD7"/>
    <w:rsid w:val="004375A7"/>
    <w:rsid w:val="00465ED9"/>
    <w:rsid w:val="004F3710"/>
    <w:rsid w:val="006236DB"/>
    <w:rsid w:val="006251EB"/>
    <w:rsid w:val="00627C57"/>
    <w:rsid w:val="006761A9"/>
    <w:rsid w:val="006C28A5"/>
    <w:rsid w:val="006C716A"/>
    <w:rsid w:val="00800B09"/>
    <w:rsid w:val="008A1FBB"/>
    <w:rsid w:val="009569E5"/>
    <w:rsid w:val="00A8021B"/>
    <w:rsid w:val="00BB0F49"/>
    <w:rsid w:val="00BD59F1"/>
    <w:rsid w:val="00C02CA9"/>
    <w:rsid w:val="00C05E09"/>
    <w:rsid w:val="00D822F4"/>
    <w:rsid w:val="00E10AF5"/>
    <w:rsid w:val="00E95DD5"/>
    <w:rsid w:val="00E97256"/>
    <w:rsid w:val="00EC1B42"/>
    <w:rsid w:val="00F65B11"/>
    <w:rsid w:val="00F713B4"/>
    <w:rsid w:val="017161EE"/>
    <w:rsid w:val="0373439E"/>
    <w:rsid w:val="05E13F99"/>
    <w:rsid w:val="06107982"/>
    <w:rsid w:val="08FE7C34"/>
    <w:rsid w:val="0B195B80"/>
    <w:rsid w:val="16D81DB6"/>
    <w:rsid w:val="174775C1"/>
    <w:rsid w:val="19F26BB1"/>
    <w:rsid w:val="1A7754F8"/>
    <w:rsid w:val="1B0753E2"/>
    <w:rsid w:val="1C03787B"/>
    <w:rsid w:val="1F6B6086"/>
    <w:rsid w:val="21827243"/>
    <w:rsid w:val="261C1009"/>
    <w:rsid w:val="26FE3319"/>
    <w:rsid w:val="2B372E74"/>
    <w:rsid w:val="2C0679BF"/>
    <w:rsid w:val="2E593E6B"/>
    <w:rsid w:val="31667E06"/>
    <w:rsid w:val="324E1D58"/>
    <w:rsid w:val="32DA5548"/>
    <w:rsid w:val="335B486B"/>
    <w:rsid w:val="369E4EAA"/>
    <w:rsid w:val="3CC11305"/>
    <w:rsid w:val="40CB1594"/>
    <w:rsid w:val="44897362"/>
    <w:rsid w:val="44BE37CF"/>
    <w:rsid w:val="4A280732"/>
    <w:rsid w:val="4A9F2515"/>
    <w:rsid w:val="4E5F467B"/>
    <w:rsid w:val="54E36229"/>
    <w:rsid w:val="554B02CC"/>
    <w:rsid w:val="59312802"/>
    <w:rsid w:val="5F78236B"/>
    <w:rsid w:val="6314426C"/>
    <w:rsid w:val="699A3F3C"/>
    <w:rsid w:val="791E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spacing w:before="100" w:beforeAutospacing="1" w:after="100" w:afterAutospacing="1"/>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2"/>
    <w:semiHidden/>
    <w:unhideWhenUsed/>
    <w:qFormat/>
    <w:uiPriority w:val="99"/>
    <w:pPr>
      <w:jc w:val="center"/>
    </w:pPr>
    <w:rPr>
      <w:lang w:val="zh-CN"/>
    </w:rPr>
  </w:style>
  <w:style w:type="paragraph" w:styleId="4">
    <w:name w:val="Balloon Text"/>
    <w:basedOn w:val="1"/>
    <w:link w:val="13"/>
    <w:semiHidden/>
    <w:unhideWhenUsed/>
    <w:qFormat/>
    <w:uiPriority w:val="99"/>
    <w:rPr>
      <w:sz w:val="18"/>
      <w:szCs w:val="18"/>
    </w:rPr>
  </w:style>
  <w:style w:type="paragraph" w:styleId="5">
    <w:name w:val="footer"/>
    <w:basedOn w:val="1"/>
    <w:link w:val="10"/>
    <w:semiHidden/>
    <w:unhideWhenUsed/>
    <w:qFormat/>
    <w:uiPriority w:val="99"/>
    <w:pPr>
      <w:tabs>
        <w:tab w:val="center" w:pos="4153"/>
        <w:tab w:val="right" w:pos="8306"/>
      </w:tabs>
      <w:snapToGrid w:val="0"/>
      <w:jc w:val="left"/>
    </w:pPr>
    <w:rPr>
      <w:kern w:val="0"/>
      <w:sz w:val="18"/>
      <w:szCs w:val="18"/>
      <w:lang w:val="zh-CN"/>
    </w:rPr>
  </w:style>
  <w:style w:type="paragraph" w:styleId="6">
    <w:name w:val="header"/>
    <w:basedOn w:val="1"/>
    <w:link w:val="9"/>
    <w:semiHidden/>
    <w:unhideWhenUsed/>
    <w:qFormat/>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正文文本 Char"/>
    <w:semiHidden/>
    <w:qFormat/>
    <w:uiPriority w:val="99"/>
    <w:rPr>
      <w:kern w:val="2"/>
      <w:sz w:val="21"/>
      <w:szCs w:val="22"/>
    </w:rPr>
  </w:style>
  <w:style w:type="character" w:customStyle="1" w:styleId="12">
    <w:name w:val="正文文本 Char1"/>
    <w:link w:val="3"/>
    <w:qFormat/>
    <w:uiPriority w:val="0"/>
    <w:rPr>
      <w:rFonts w:ascii="Times New Roman" w:hAnsi="Times New Roman" w:eastAsia="仿宋_GB2312"/>
      <w:b/>
      <w:color w:val="FF0000"/>
      <w:kern w:val="2"/>
      <w:sz w:val="44"/>
      <w:szCs w:val="32"/>
      <w:lang w:val="zh-CN" w:eastAsia="zh-CN"/>
    </w:rPr>
  </w:style>
  <w:style w:type="character" w:customStyle="1" w:styleId="13">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146</Words>
  <Characters>835</Characters>
  <Lines>6</Lines>
  <Paragraphs>1</Paragraphs>
  <TotalTime>0</TotalTime>
  <ScaleCrop>false</ScaleCrop>
  <LinksUpToDate>false</LinksUpToDate>
  <CharactersWithSpaces>980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2021-12-02T08:42:00Z</dcterms:created>
  <dc:creator>赖茜</dc:creator>
  <cp:lastModifiedBy>Administrator</cp:lastModifiedBy>
  <cp:lastPrinted>2023-03-10T07:08:00Z</cp:lastPrinted>
  <dcterms:modified xsi:type="dcterms:W3CDTF">2024-01-10T06:16:36Z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F506D1D344954A71B98DE952DC3548F4</vt:lpwstr>
  </property>
</Properties>
</file>