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60" w:lineRule="exact"/>
        <w:jc w:val="both"/>
        <w:rPr>
          <w:rFonts w:hint="eastAsia" w:ascii="黑体" w:hAnsi="黑体" w:eastAsia="黑体"/>
          <w:sz w:val="32"/>
          <w:szCs w:val="32"/>
        </w:rPr>
      </w:pPr>
      <w:r>
        <w:rPr>
          <w:rFonts w:hint="eastAsia" w:ascii="黑体" w:hAnsi="黑体" w:eastAsia="黑体"/>
          <w:sz w:val="32"/>
          <w:szCs w:val="32"/>
        </w:rPr>
        <w:t>附件</w:t>
      </w:r>
    </w:p>
    <w:p>
      <w:pPr>
        <w:pStyle w:val="3"/>
        <w:shd w:val="clear" w:color="auto" w:fill="FFFFFF"/>
        <w:spacing w:before="0" w:beforeAutospacing="0" w:after="0" w:afterAutospacing="0" w:line="560" w:lineRule="exact"/>
        <w:jc w:val="both"/>
        <w:rPr>
          <w:rFonts w:hint="eastAsia" w:ascii="黑体" w:hAnsi="黑体" w:eastAsia="黑体"/>
          <w:sz w:val="32"/>
          <w:szCs w:val="32"/>
        </w:rPr>
      </w:pPr>
    </w:p>
    <w:p>
      <w:pPr>
        <w:pStyle w:val="3"/>
        <w:shd w:val="clear" w:color="auto" w:fill="FFFFFF"/>
        <w:spacing w:before="0" w:beforeAutospacing="0" w:after="0" w:afterAutospacing="0" w:line="560" w:lineRule="exact"/>
        <w:jc w:val="center"/>
        <w:rPr>
          <w:rFonts w:hint="eastAsia" w:ascii="方正小标宋简体" w:hAnsi="仿宋_GB2312" w:eastAsia="方正小标宋简体"/>
          <w:color w:val="000000"/>
          <w:sz w:val="44"/>
          <w:szCs w:val="44"/>
        </w:rPr>
      </w:pPr>
      <w:r>
        <w:rPr>
          <w:rFonts w:hint="eastAsia" w:ascii="方正小标宋简体" w:hAnsi="仿宋_GB2312" w:eastAsia="方正小标宋简体"/>
          <w:color w:val="000000"/>
          <w:sz w:val="44"/>
          <w:szCs w:val="44"/>
        </w:rPr>
        <w:t>广西壮族自治区医疗保障基金使用监督管理行政处罚裁量基准表</w:t>
      </w:r>
    </w:p>
    <w:tbl>
      <w:tblPr>
        <w:tblStyle w:val="4"/>
        <w:tblW w:w="15270" w:type="dxa"/>
        <w:tblInd w:w="-459" w:type="dxa"/>
        <w:tblLayout w:type="autofit"/>
        <w:tblCellMar>
          <w:top w:w="0" w:type="dxa"/>
          <w:left w:w="108" w:type="dxa"/>
          <w:bottom w:w="0" w:type="dxa"/>
          <w:right w:w="108" w:type="dxa"/>
        </w:tblCellMar>
      </w:tblPr>
      <w:tblGrid>
        <w:gridCol w:w="620"/>
        <w:gridCol w:w="4059"/>
        <w:gridCol w:w="2125"/>
        <w:gridCol w:w="1360"/>
        <w:gridCol w:w="3318"/>
        <w:gridCol w:w="3788"/>
      </w:tblGrid>
      <w:tr>
        <w:tblPrEx>
          <w:tblCellMar>
            <w:top w:w="0" w:type="dxa"/>
            <w:left w:w="108" w:type="dxa"/>
            <w:bottom w:w="0" w:type="dxa"/>
            <w:right w:w="108" w:type="dxa"/>
          </w:tblCellMar>
        </w:tblPrEx>
        <w:trPr>
          <w:trHeight w:val="240" w:hRule="atLeast"/>
          <w:tblHeader/>
        </w:trPr>
        <w:tc>
          <w:tcPr>
            <w:tcW w:w="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宋体"/>
                <w:b/>
                <w:color w:val="000000"/>
                <w:sz w:val="24"/>
                <w:szCs w:val="24"/>
                <w:lang w:eastAsia="zh-CN" w:bidi="ar-SA"/>
              </w:rPr>
            </w:pPr>
            <w:r>
              <w:rPr>
                <w:rFonts w:hint="eastAsia" w:ascii="黑体" w:hAnsi="黑体" w:eastAsia="黑体" w:cs="宋体"/>
                <w:b/>
                <w:color w:val="000000"/>
                <w:sz w:val="24"/>
                <w:szCs w:val="24"/>
                <w:lang w:eastAsia="zh-CN" w:bidi="ar-SA"/>
              </w:rPr>
              <w:t>序号</w:t>
            </w:r>
          </w:p>
        </w:tc>
        <w:tc>
          <w:tcPr>
            <w:tcW w:w="4059"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宋体"/>
                <w:b/>
                <w:color w:val="000000"/>
                <w:sz w:val="24"/>
                <w:szCs w:val="24"/>
                <w:lang w:eastAsia="zh-CN" w:bidi="ar-SA"/>
              </w:rPr>
            </w:pPr>
            <w:r>
              <w:rPr>
                <w:rFonts w:hint="eastAsia" w:ascii="黑体" w:hAnsi="黑体" w:eastAsia="黑体" w:cs="宋体"/>
                <w:b/>
                <w:color w:val="000000"/>
                <w:sz w:val="24"/>
                <w:szCs w:val="24"/>
                <w:lang w:eastAsia="zh-CN" w:bidi="ar-SA"/>
              </w:rPr>
              <w:t>违法行为</w:t>
            </w:r>
          </w:p>
        </w:tc>
        <w:tc>
          <w:tcPr>
            <w:tcW w:w="2125"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宋体"/>
                <w:b/>
                <w:color w:val="000000"/>
                <w:sz w:val="24"/>
                <w:szCs w:val="24"/>
                <w:lang w:eastAsia="zh-CN" w:bidi="ar-SA"/>
              </w:rPr>
            </w:pPr>
            <w:r>
              <w:rPr>
                <w:rFonts w:hint="eastAsia" w:ascii="黑体" w:hAnsi="黑体" w:eastAsia="黑体" w:cs="宋体"/>
                <w:b/>
                <w:color w:val="000000"/>
                <w:sz w:val="24"/>
                <w:szCs w:val="24"/>
                <w:lang w:eastAsia="zh-CN" w:bidi="ar-SA"/>
              </w:rPr>
              <w:t>法定依据</w:t>
            </w: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宋体"/>
                <w:b/>
                <w:color w:val="000000"/>
                <w:sz w:val="24"/>
                <w:szCs w:val="24"/>
                <w:lang w:eastAsia="zh-CN" w:bidi="ar-SA"/>
              </w:rPr>
            </w:pPr>
            <w:r>
              <w:rPr>
                <w:rFonts w:hint="eastAsia" w:ascii="黑体" w:hAnsi="黑体" w:eastAsia="黑体" w:cs="宋体"/>
                <w:b/>
                <w:color w:val="000000"/>
                <w:sz w:val="24"/>
                <w:szCs w:val="24"/>
                <w:lang w:eastAsia="zh-CN" w:bidi="ar-SA"/>
              </w:rPr>
              <w:t>裁量阶次</w:t>
            </w:r>
          </w:p>
        </w:tc>
        <w:tc>
          <w:tcPr>
            <w:tcW w:w="331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宋体"/>
                <w:b/>
                <w:color w:val="000000"/>
                <w:sz w:val="24"/>
                <w:szCs w:val="24"/>
                <w:lang w:eastAsia="zh-CN" w:bidi="ar-SA"/>
              </w:rPr>
            </w:pPr>
            <w:r>
              <w:rPr>
                <w:rFonts w:hint="eastAsia" w:ascii="黑体" w:hAnsi="黑体" w:eastAsia="黑体" w:cs="宋体"/>
                <w:b/>
                <w:color w:val="000000"/>
                <w:sz w:val="24"/>
                <w:szCs w:val="24"/>
                <w:lang w:eastAsia="zh-CN" w:bidi="ar-SA"/>
              </w:rPr>
              <w:t>适用情形</w:t>
            </w:r>
          </w:p>
        </w:tc>
        <w:tc>
          <w:tcPr>
            <w:tcW w:w="378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黑体" w:eastAsia="黑体" w:cs="宋体"/>
                <w:b/>
                <w:color w:val="000000"/>
                <w:sz w:val="24"/>
                <w:szCs w:val="24"/>
                <w:lang w:eastAsia="zh-CN" w:bidi="ar-SA"/>
              </w:rPr>
            </w:pPr>
            <w:r>
              <w:rPr>
                <w:rFonts w:hint="eastAsia" w:ascii="黑体" w:hAnsi="黑体" w:eastAsia="黑体" w:cs="宋体"/>
                <w:b/>
                <w:color w:val="000000"/>
                <w:sz w:val="24"/>
                <w:szCs w:val="24"/>
                <w:lang w:eastAsia="zh-CN" w:bidi="ar-SA"/>
              </w:rPr>
              <w:t>裁量幅度</w:t>
            </w:r>
          </w:p>
        </w:tc>
      </w:tr>
      <w:tr>
        <w:tblPrEx>
          <w:tblCellMar>
            <w:top w:w="0" w:type="dxa"/>
            <w:left w:w="108" w:type="dxa"/>
            <w:bottom w:w="0" w:type="dxa"/>
            <w:right w:w="108" w:type="dxa"/>
          </w:tblCellMar>
        </w:tblPrEx>
        <w:trPr>
          <w:trHeight w:val="1077" w:hRule="atLeast"/>
        </w:trPr>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1</w:t>
            </w:r>
          </w:p>
        </w:tc>
        <w:tc>
          <w:tcPr>
            <w:tcW w:w="4059"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tc>
        <w:tc>
          <w:tcPr>
            <w:tcW w:w="2125"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《医疗保障基金使用监督管理条例》第三十七条</w:t>
            </w: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不予处罚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初次违法且骗取医保基金500元以下并及时改正的。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由医疗保障行政部门责令退回。</w:t>
            </w:r>
          </w:p>
        </w:tc>
      </w:tr>
      <w:tr>
        <w:tblPrEx>
          <w:tblCellMar>
            <w:top w:w="0" w:type="dxa"/>
            <w:left w:w="108" w:type="dxa"/>
            <w:bottom w:w="0" w:type="dxa"/>
            <w:right w:w="108" w:type="dxa"/>
          </w:tblCellMar>
        </w:tblPrEx>
        <w:trPr>
          <w:trHeight w:val="991"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减轻处罚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骗取医保基金2000元以下并及时改正的。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由医疗保障行政部门责令退回，处骗取金额2倍以下罚款。</w:t>
            </w:r>
          </w:p>
        </w:tc>
      </w:tr>
      <w:tr>
        <w:tblPrEx>
          <w:tblCellMar>
            <w:top w:w="0" w:type="dxa"/>
            <w:left w:w="108" w:type="dxa"/>
            <w:bottom w:w="0" w:type="dxa"/>
            <w:right w:w="108" w:type="dxa"/>
          </w:tblCellMar>
        </w:tblPrEx>
        <w:trPr>
          <w:trHeight w:val="977"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骗取医保基金2000元以上5000元以下并及时改正的。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由医疗保障行政部门责令退回，处骗取金额2倍以上3倍以下罚款。</w:t>
            </w:r>
          </w:p>
        </w:tc>
      </w:tr>
      <w:tr>
        <w:tblPrEx>
          <w:tblCellMar>
            <w:top w:w="0" w:type="dxa"/>
            <w:left w:w="108" w:type="dxa"/>
            <w:bottom w:w="0" w:type="dxa"/>
            <w:right w:w="108" w:type="dxa"/>
          </w:tblCellMar>
        </w:tblPrEx>
        <w:trPr>
          <w:trHeight w:val="1404"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一般处罚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不具备减轻、从轻、从重情形，或骗取医保基金5000元以上10000元以下的。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由医疗保障行政部门责令退回，处骗取金额3倍以上4倍以下罚款。</w:t>
            </w:r>
          </w:p>
        </w:tc>
      </w:tr>
      <w:tr>
        <w:tblPrEx>
          <w:tblCellMar>
            <w:top w:w="0" w:type="dxa"/>
            <w:left w:w="108" w:type="dxa"/>
            <w:bottom w:w="0" w:type="dxa"/>
            <w:right w:w="108" w:type="dxa"/>
          </w:tblCellMar>
        </w:tblPrEx>
        <w:trPr>
          <w:trHeight w:val="1269"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从重处罚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骗取医保基金10000元以上的。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由医疗保障行政部门责令退回，处骗取金额4倍以上5倍以下罚款。</w:t>
            </w:r>
          </w:p>
        </w:tc>
      </w:tr>
      <w:tr>
        <w:tblPrEx>
          <w:tblCellMar>
            <w:top w:w="0" w:type="dxa"/>
            <w:left w:w="108" w:type="dxa"/>
            <w:bottom w:w="0" w:type="dxa"/>
            <w:right w:w="108" w:type="dxa"/>
          </w:tblCellMar>
        </w:tblPrEx>
        <w:trPr>
          <w:trHeight w:val="1639" w:hRule="atLeast"/>
        </w:trPr>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2</w:t>
            </w:r>
          </w:p>
        </w:tc>
        <w:tc>
          <w:tcPr>
            <w:tcW w:w="4059"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80" w:lineRule="exact"/>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（一）分解住院、挂床住院；</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（二）违反诊疗规范过度诊疗、过度检查、分解处方、超量开药、重复开药或者提供其他不必要的医药服务；</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（三）重复收费、超标准收费、分解项目收费；</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（四）串换药品、医用耗材、诊疗项目和服务设施；</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（五）为参保人员利用其享受医疗保障待遇的机会转卖药品，接受返还现金、实物或者获得其他非法利益提供便利；</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（六）将不属于医疗保障基金支付范围的医药费用纳入医疗保障基金结算；</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（七）造成医疗保障基金损失的其他违法行为。</w:t>
            </w:r>
          </w:p>
        </w:tc>
        <w:tc>
          <w:tcPr>
            <w:tcW w:w="2125"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《医疗保障基金使用监督管理条例》第三十八条</w:t>
            </w: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不予处罚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违法行为轻微，未造成医保基金损失，自行纠正或者在限期内改正；初次违法且造成医保基金损失占该定点医疗机构上年度医保基金支付额0.1%以下，及时改正并退回损失金额的。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应当不予处罚，可以约谈有关负责人；</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可以不予处罚，由医疗保障行政部门约谈有关负责人。</w:t>
            </w:r>
          </w:p>
        </w:tc>
      </w:tr>
      <w:tr>
        <w:tblPrEx>
          <w:tblCellMar>
            <w:top w:w="0" w:type="dxa"/>
            <w:left w:w="108" w:type="dxa"/>
            <w:bottom w:w="0" w:type="dxa"/>
            <w:right w:w="108" w:type="dxa"/>
          </w:tblCellMar>
        </w:tblPrEx>
        <w:trPr>
          <w:trHeight w:val="720"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减轻处罚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造成医保基金损失占该定点医疗机构上年度医保基金支付额0.2%以下，及时改正并退回损失金额的。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由医疗保障行政部门约谈有关负责人，处损失金额1倍以下的罚款。</w:t>
            </w:r>
          </w:p>
        </w:tc>
      </w:tr>
      <w:tr>
        <w:tblPrEx>
          <w:tblCellMar>
            <w:top w:w="0" w:type="dxa"/>
            <w:left w:w="108" w:type="dxa"/>
            <w:bottom w:w="0" w:type="dxa"/>
            <w:right w:w="108" w:type="dxa"/>
          </w:tblCellMar>
        </w:tblPrEx>
        <w:trPr>
          <w:trHeight w:val="720"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造成医保基金损失占该定点医疗机构上年度医保基金支付额0.2%以上0.5%以下，及时改正并退回损失金额的。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由医疗保障行政部门约谈有关负责人，处损失金额1倍以上1.3倍以下罚款。</w:t>
            </w:r>
          </w:p>
        </w:tc>
      </w:tr>
      <w:tr>
        <w:tblPrEx>
          <w:tblCellMar>
            <w:top w:w="0" w:type="dxa"/>
            <w:left w:w="108" w:type="dxa"/>
            <w:bottom w:w="0" w:type="dxa"/>
            <w:right w:w="108" w:type="dxa"/>
          </w:tblCellMar>
        </w:tblPrEx>
        <w:trPr>
          <w:trHeight w:val="960"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一般处罚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不具备不予处罚情形或减轻、从轻、从重情形，造成医保基金损失占该定点医疗机构上年度医保基金支付额1.5%以下。</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由医疗保障行政部门责令改正，约谈有关负责人，责令退回损失金额，处损失金额1.3倍及以上1.7倍以下罚款；拒不改正的，并处暂停服务6个月以上9个月以下。</w:t>
            </w:r>
          </w:p>
        </w:tc>
      </w:tr>
      <w:tr>
        <w:tblPrEx>
          <w:tblCellMar>
            <w:top w:w="0" w:type="dxa"/>
            <w:left w:w="108" w:type="dxa"/>
            <w:bottom w:w="0" w:type="dxa"/>
            <w:right w:w="108" w:type="dxa"/>
          </w:tblCellMar>
        </w:tblPrEx>
        <w:trPr>
          <w:trHeight w:val="960"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从重处罚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造成医保基金损失占该定点医疗机构上年度医保基金支付额1.5%以上。</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由医疗保障行政部门责令改正，约谈有关负责人，责令退回损失金额，处损失金额1.7倍及以上2倍以下罚款；拒不改正的，并处暂停服务9个月以上12个月以下。</w:t>
            </w:r>
          </w:p>
        </w:tc>
      </w:tr>
      <w:tr>
        <w:tblPrEx>
          <w:tblCellMar>
            <w:top w:w="0" w:type="dxa"/>
            <w:left w:w="108" w:type="dxa"/>
            <w:bottom w:w="0" w:type="dxa"/>
            <w:right w:w="108" w:type="dxa"/>
          </w:tblCellMar>
        </w:tblPrEx>
        <w:trPr>
          <w:trHeight w:val="1480" w:hRule="atLeast"/>
        </w:trPr>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3</w:t>
            </w:r>
          </w:p>
        </w:tc>
        <w:tc>
          <w:tcPr>
            <w:tcW w:w="4059"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280" w:lineRule="exact"/>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定点医药机构有下列情形之一的，由医疗保障行政部门责令改正，并可以约谈有关负责人；拒不改正的，处1万元以上5万元以下的罚款；违反其他法律、行政法规的，由有关主管部门依法处理：</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（一）未建立医疗保障基金使用内部管理制度，或者没有专门机构或者人员负责医疗保障基金使用管理工作；</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（二）未按照规定保管财务账目、会计凭证、处方、病历、治疗检查记录、费用明细、药品和医用耗材出入库记录等资料；</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（三）未按照规定通过医疗保障信息系统传送医疗保障基金使用有关数据；</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（四）未按照规定向医疗保障行政部门报告医疗保障基金使用监督管理所需信息；</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（五）未按照规定向社会公开医药费用、费用结构等信息；</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（六）除急诊、抢救等特殊情形外，未经参保人员或者其近亲属、监护人同意提供医疗保障基金支付范围以外的医药服务；</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（七）拒绝医疗保障等行政部门监督检查或者提供虚假情况。</w:t>
            </w:r>
          </w:p>
        </w:tc>
        <w:tc>
          <w:tcPr>
            <w:tcW w:w="2125"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《医疗保障基金使用监督管理条例》第三十九条</w:t>
            </w: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不予处罚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自行纠正或者在限期内改正。</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可以约谈有关负责人。</w:t>
            </w:r>
          </w:p>
        </w:tc>
      </w:tr>
      <w:tr>
        <w:tblPrEx>
          <w:tblCellMar>
            <w:top w:w="0" w:type="dxa"/>
            <w:left w:w="108" w:type="dxa"/>
            <w:bottom w:w="0" w:type="dxa"/>
            <w:right w:w="108" w:type="dxa"/>
          </w:tblCellMar>
        </w:tblPrEx>
        <w:trPr>
          <w:trHeight w:val="1822"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具备《基金监管条例》第三十九条其中1项行为，限期内拒不改正的。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处1万元以上2.2万元以下罚款。</w:t>
            </w:r>
          </w:p>
        </w:tc>
      </w:tr>
      <w:tr>
        <w:tblPrEx>
          <w:tblCellMar>
            <w:top w:w="0" w:type="dxa"/>
            <w:left w:w="108" w:type="dxa"/>
            <w:bottom w:w="0" w:type="dxa"/>
            <w:right w:w="108" w:type="dxa"/>
          </w:tblCellMar>
        </w:tblPrEx>
        <w:trPr>
          <w:trHeight w:val="2129"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一般处罚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不具备上述不予处罚情形或从轻、从重情形，限期内拒不改正的。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处2.2万元以上3.8万元以下罚款。</w:t>
            </w:r>
          </w:p>
        </w:tc>
      </w:tr>
      <w:tr>
        <w:tblPrEx>
          <w:tblCellMar>
            <w:top w:w="0" w:type="dxa"/>
            <w:left w:w="108" w:type="dxa"/>
            <w:bottom w:w="0" w:type="dxa"/>
            <w:right w:w="108" w:type="dxa"/>
          </w:tblCellMar>
        </w:tblPrEx>
        <w:trPr>
          <w:trHeight w:val="480"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从重处罚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具备《基金监管条例》第三十九条其中3项以上行为，限期内拒不改正的。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处3.8万元以上5万元以下罚款。</w:t>
            </w:r>
          </w:p>
        </w:tc>
      </w:tr>
      <w:tr>
        <w:tblPrEx>
          <w:tblCellMar>
            <w:top w:w="0" w:type="dxa"/>
            <w:left w:w="108" w:type="dxa"/>
            <w:bottom w:w="0" w:type="dxa"/>
            <w:right w:w="108" w:type="dxa"/>
          </w:tblCellMar>
        </w:tblPrEx>
        <w:trPr>
          <w:trHeight w:val="480" w:hRule="atLeast"/>
        </w:trPr>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4</w:t>
            </w:r>
          </w:p>
        </w:tc>
        <w:tc>
          <w:tcPr>
            <w:tcW w:w="4059"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spacing w:line="340" w:lineRule="exact"/>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（一）诱导、协助他人冒名或者虚假就医、购药，提供虚假证明材料，或者串通他人虚开费用单据；</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（二）伪造、变造、隐匿、涂改、销毁医学文书、医学证明、会计凭证、电子信息等有关资料；</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（三）虚构医药服务项目；</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（四）其他骗取医疗保障基金支出的行为。</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定点医药机构以骗取医疗保障基金为目的，实施了本条例第三十八条规定行为之一，造成医疗保障基金损失的，按照本条规定处理。</w:t>
            </w:r>
          </w:p>
        </w:tc>
        <w:tc>
          <w:tcPr>
            <w:tcW w:w="2125"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《医疗保障基金使用监督管理条例》第四十条</w:t>
            </w: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减轻处罚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初次违法且骗取医保基金2000元以下，及时改正并退回损失金额的。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处骗取金额2倍以下罚款。</w:t>
            </w:r>
          </w:p>
        </w:tc>
      </w:tr>
      <w:tr>
        <w:tblPrEx>
          <w:tblCellMar>
            <w:top w:w="0" w:type="dxa"/>
            <w:left w:w="108" w:type="dxa"/>
            <w:bottom w:w="0" w:type="dxa"/>
            <w:right w:w="108" w:type="dxa"/>
          </w:tblCellMar>
        </w:tblPrEx>
        <w:trPr>
          <w:trHeight w:val="480"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骗取医保基金5000元以下，并退回损失金额的。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处骗取金额2倍以上3倍以下罚款，并处暂停服务6个月以上8个月以下。</w:t>
            </w:r>
          </w:p>
        </w:tc>
      </w:tr>
      <w:tr>
        <w:tblPrEx>
          <w:tblCellMar>
            <w:top w:w="0" w:type="dxa"/>
            <w:left w:w="108" w:type="dxa"/>
            <w:bottom w:w="0" w:type="dxa"/>
            <w:right w:w="108" w:type="dxa"/>
          </w:tblCellMar>
        </w:tblPrEx>
        <w:trPr>
          <w:trHeight w:val="1999"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一般处罚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不具备减轻、从轻或从重情形，且骗取医保基金10000元以下的。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由医疗保障行政部门责令退回，处骗取金额3倍以上4倍以下罚款，并处暂停服务8个月以上10个月以下。</w:t>
            </w:r>
          </w:p>
        </w:tc>
      </w:tr>
      <w:tr>
        <w:tblPrEx>
          <w:tblCellMar>
            <w:top w:w="0" w:type="dxa"/>
            <w:left w:w="108" w:type="dxa"/>
            <w:bottom w:w="0" w:type="dxa"/>
            <w:right w:w="108" w:type="dxa"/>
          </w:tblCellMar>
        </w:tblPrEx>
        <w:trPr>
          <w:trHeight w:val="2442"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从重处罚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骗取医保基金10000元以上的。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由医疗保障行政部门责令退回，处骗取金额4倍以上5倍以下罚款，并处暂停服务10个月以上12个月以下或由医疗保障经办机构解除服务协议。</w:t>
            </w:r>
          </w:p>
        </w:tc>
      </w:tr>
      <w:tr>
        <w:tblPrEx>
          <w:tblCellMar>
            <w:top w:w="0" w:type="dxa"/>
            <w:left w:w="108" w:type="dxa"/>
            <w:bottom w:w="0" w:type="dxa"/>
            <w:right w:w="108" w:type="dxa"/>
          </w:tblCellMar>
        </w:tblPrEx>
        <w:trPr>
          <w:trHeight w:val="1763" w:hRule="atLeast"/>
        </w:trPr>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5</w:t>
            </w:r>
          </w:p>
        </w:tc>
        <w:tc>
          <w:tcPr>
            <w:tcW w:w="4059" w:type="dxa"/>
            <w:vMerge w:val="restart"/>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个人有下列情形之一的，由医疗保障行政部门责令改正；造成医疗保障基金损失的，责令退回；属于参保人员的，暂停其医疗费用联网结算3个月至12个月：</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（一）将本人的医疗保障凭证交由他人冒名使用；</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（二）重复享受医疗保障待遇；</w:t>
            </w:r>
            <w:r>
              <w:rPr>
                <w:rFonts w:hint="eastAsia" w:ascii="宋体" w:hAnsi="宋体" w:cs="宋体"/>
                <w:color w:val="000000"/>
                <w:sz w:val="24"/>
                <w:szCs w:val="24"/>
                <w:lang w:eastAsia="zh-CN" w:bidi="ar-SA"/>
              </w:rPr>
              <w:br w:type="textWrapping"/>
            </w:r>
            <w:r>
              <w:rPr>
                <w:rFonts w:hint="eastAsia" w:ascii="宋体" w:hAnsi="宋体" w:cs="宋体"/>
                <w:color w:val="000000"/>
                <w:sz w:val="24"/>
                <w:szCs w:val="24"/>
                <w:lang w:eastAsia="zh-CN" w:bidi="ar-SA"/>
              </w:rPr>
              <w:t>（三）利用享受医疗保障待遇的机会转卖药品，接受返还现金、实物或者获得其他非法利益。</w:t>
            </w:r>
          </w:p>
        </w:tc>
        <w:tc>
          <w:tcPr>
            <w:tcW w:w="212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《医疗保障基金使用监督管理条例》第四十一条第一款</w:t>
            </w: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不予处罚</w:t>
            </w:r>
          </w:p>
        </w:tc>
        <w:tc>
          <w:tcPr>
            <w:tcW w:w="331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违法行为轻微，造成社会不良影响较小，造成医保基金损失在500元以下，自行纠正并退回损失金额。</w:t>
            </w:r>
          </w:p>
        </w:tc>
        <w:tc>
          <w:tcPr>
            <w:tcW w:w="378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由医疗保障行政部门责令改正。</w:t>
            </w:r>
          </w:p>
        </w:tc>
      </w:tr>
      <w:tr>
        <w:tblPrEx>
          <w:tblCellMar>
            <w:top w:w="0" w:type="dxa"/>
            <w:left w:w="108" w:type="dxa"/>
            <w:bottom w:w="0" w:type="dxa"/>
            <w:right w:w="108" w:type="dxa"/>
          </w:tblCellMar>
        </w:tblPrEx>
        <w:trPr>
          <w:trHeight w:val="1548"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减轻处罚</w:t>
            </w:r>
          </w:p>
        </w:tc>
        <w:tc>
          <w:tcPr>
            <w:tcW w:w="331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造成医疗保障基金损失500元以上1000元以下，自行纠正并退回损失基金且造成社会不良影响较小的。</w:t>
            </w:r>
          </w:p>
        </w:tc>
        <w:tc>
          <w:tcPr>
            <w:tcW w:w="378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暂停其3个月以下医疗费用联网结算。</w:t>
            </w:r>
          </w:p>
        </w:tc>
      </w:tr>
      <w:tr>
        <w:tblPrEx>
          <w:tblCellMar>
            <w:top w:w="0" w:type="dxa"/>
            <w:left w:w="108" w:type="dxa"/>
            <w:bottom w:w="0" w:type="dxa"/>
            <w:right w:w="108" w:type="dxa"/>
          </w:tblCellMar>
        </w:tblPrEx>
        <w:trPr>
          <w:trHeight w:val="1130"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从轻处罚</w:t>
            </w:r>
          </w:p>
        </w:tc>
        <w:tc>
          <w:tcPr>
            <w:tcW w:w="331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造成医保基金损失 1000元以上3000元以下，及时改正并退回的。</w:t>
            </w:r>
          </w:p>
        </w:tc>
        <w:tc>
          <w:tcPr>
            <w:tcW w:w="378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暂停其3个月以上6个月以下医疗费用联网结算。</w:t>
            </w:r>
          </w:p>
        </w:tc>
      </w:tr>
      <w:tr>
        <w:tblPrEx>
          <w:tblCellMar>
            <w:top w:w="0" w:type="dxa"/>
            <w:left w:w="108" w:type="dxa"/>
            <w:bottom w:w="0" w:type="dxa"/>
            <w:right w:w="108" w:type="dxa"/>
          </w:tblCellMar>
        </w:tblPrEx>
        <w:trPr>
          <w:trHeight w:val="1279"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一般处罚</w:t>
            </w:r>
          </w:p>
        </w:tc>
        <w:tc>
          <w:tcPr>
            <w:tcW w:w="331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不具备减轻、从轻或从重情形，造成医保基金损失5000元以下的。</w:t>
            </w:r>
          </w:p>
        </w:tc>
        <w:tc>
          <w:tcPr>
            <w:tcW w:w="378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由医疗保障行政部门责令改正并退回，暂停其6个月以上8个月以下医疗费用联网结算。</w:t>
            </w:r>
          </w:p>
        </w:tc>
      </w:tr>
      <w:tr>
        <w:tblPrEx>
          <w:tblCellMar>
            <w:top w:w="0" w:type="dxa"/>
            <w:left w:w="108" w:type="dxa"/>
            <w:bottom w:w="0" w:type="dxa"/>
            <w:right w:w="108" w:type="dxa"/>
          </w:tblCellMar>
        </w:tblPrEx>
        <w:trPr>
          <w:trHeight w:val="1816" w:hRule="atLeast"/>
        </w:trPr>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nil"/>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从重处罚</w:t>
            </w:r>
          </w:p>
        </w:tc>
        <w:tc>
          <w:tcPr>
            <w:tcW w:w="331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两次以上实施违规行为或者造成医保基金损失5000元以上的。</w:t>
            </w:r>
          </w:p>
        </w:tc>
        <w:tc>
          <w:tcPr>
            <w:tcW w:w="378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由医疗保障行政部门责令改正并退回，暂停其8个月以上12个月以下医疗费用联网结算。</w:t>
            </w:r>
          </w:p>
        </w:tc>
      </w:tr>
      <w:tr>
        <w:tblPrEx>
          <w:tblCellMar>
            <w:top w:w="0" w:type="dxa"/>
            <w:left w:w="108" w:type="dxa"/>
            <w:bottom w:w="0" w:type="dxa"/>
            <w:right w:w="108" w:type="dxa"/>
          </w:tblCellMar>
        </w:tblPrEx>
        <w:trPr>
          <w:trHeight w:val="1621" w:hRule="atLeast"/>
        </w:trPr>
        <w:tc>
          <w:tcPr>
            <w:tcW w:w="6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6</w:t>
            </w:r>
          </w:p>
        </w:tc>
        <w:tc>
          <w:tcPr>
            <w:tcW w:w="405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tc>
        <w:tc>
          <w:tcPr>
            <w:tcW w:w="212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《医疗保障基金使用监督管理条例》第四十一条第二款</w:t>
            </w: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减轻处罚</w:t>
            </w:r>
          </w:p>
        </w:tc>
        <w:tc>
          <w:tcPr>
            <w:tcW w:w="331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骗取医保基金500元以下，及时改正并退回的。</w:t>
            </w:r>
          </w:p>
        </w:tc>
        <w:tc>
          <w:tcPr>
            <w:tcW w:w="3788" w:type="dxa"/>
            <w:tcBorders>
              <w:top w:val="single" w:color="auto" w:sz="4" w:space="0"/>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约谈当事人，处骗取金额2倍以下罚款；属于参保人员的，暂停其3个月以下医疗费用联网结算。</w:t>
            </w:r>
          </w:p>
        </w:tc>
      </w:tr>
      <w:tr>
        <w:tblPrEx>
          <w:tblCellMar>
            <w:top w:w="0" w:type="dxa"/>
            <w:left w:w="108" w:type="dxa"/>
            <w:bottom w:w="0" w:type="dxa"/>
            <w:right w:w="108" w:type="dxa"/>
          </w:tblCellMar>
        </w:tblPrEx>
        <w:trPr>
          <w:trHeight w:val="1702"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从轻处罚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骗取医保基金500元以上1000元以下，及时改正并退回的。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约谈当事人，处骗取金额2倍以上3倍以下罚款；属于参保人员的，暂停其3个月以上6个月以下医疗费用联网结算。</w:t>
            </w:r>
          </w:p>
        </w:tc>
      </w:tr>
      <w:tr>
        <w:tblPrEx>
          <w:tblCellMar>
            <w:top w:w="0" w:type="dxa"/>
            <w:left w:w="108" w:type="dxa"/>
            <w:bottom w:w="0" w:type="dxa"/>
            <w:right w:w="108" w:type="dxa"/>
          </w:tblCellMar>
        </w:tblPrEx>
        <w:trPr>
          <w:trHeight w:val="1684"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一般处罚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不具备减轻、从轻或从重情</w:t>
            </w:r>
            <w:bookmarkStart w:id="0" w:name="_GoBack"/>
            <w:bookmarkEnd w:id="0"/>
            <w:r>
              <w:rPr>
                <w:rFonts w:hint="eastAsia" w:ascii="宋体" w:hAnsi="宋体" w:cs="宋体"/>
                <w:color w:val="000000"/>
                <w:sz w:val="24"/>
                <w:szCs w:val="24"/>
                <w:lang w:eastAsia="zh-CN" w:bidi="ar-SA"/>
              </w:rPr>
              <w:t>形，骗取医保基金5000元以下的。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责令改正并退回，处骗取金额3倍以上4倍以下的罚款，属于参保人员的，暂停其6个月以上8个月以下医疗费用联网结算。</w:t>
            </w:r>
          </w:p>
        </w:tc>
      </w:tr>
      <w:tr>
        <w:tblPrEx>
          <w:tblCellMar>
            <w:top w:w="0" w:type="dxa"/>
            <w:left w:w="108" w:type="dxa"/>
            <w:bottom w:w="0" w:type="dxa"/>
            <w:right w:w="108" w:type="dxa"/>
          </w:tblCellMar>
        </w:tblPrEx>
        <w:trPr>
          <w:trHeight w:val="1836"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405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21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000000"/>
                <w:sz w:val="24"/>
                <w:szCs w:val="24"/>
                <w:lang w:eastAsia="zh-CN" w:bidi="ar-SA"/>
              </w:rPr>
            </w:pPr>
          </w:p>
        </w:tc>
        <w:tc>
          <w:tcPr>
            <w:tcW w:w="1360"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000000"/>
                <w:sz w:val="24"/>
                <w:szCs w:val="24"/>
                <w:lang w:eastAsia="zh-CN" w:bidi="ar-SA"/>
              </w:rPr>
            </w:pPr>
            <w:r>
              <w:rPr>
                <w:rFonts w:hint="eastAsia" w:ascii="宋体" w:hAnsi="宋体" w:cs="宋体"/>
                <w:color w:val="000000"/>
                <w:sz w:val="24"/>
                <w:szCs w:val="24"/>
                <w:lang w:eastAsia="zh-CN" w:bidi="ar-SA"/>
              </w:rPr>
              <w:t>从重处罚</w:t>
            </w:r>
          </w:p>
        </w:tc>
        <w:tc>
          <w:tcPr>
            <w:tcW w:w="331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实施两次以上违规行为或者骗取医保基金5000元以上的。</w:t>
            </w:r>
          </w:p>
        </w:tc>
        <w:tc>
          <w:tcPr>
            <w:tcW w:w="3788" w:type="dxa"/>
            <w:tcBorders>
              <w:top w:val="nil"/>
              <w:left w:val="nil"/>
              <w:bottom w:val="single" w:color="auto" w:sz="4" w:space="0"/>
              <w:right w:val="single" w:color="auto" w:sz="4" w:space="0"/>
            </w:tcBorders>
            <w:shd w:val="clear" w:color="auto" w:fill="auto"/>
            <w:noWrap w:val="0"/>
            <w:vAlign w:val="center"/>
          </w:tcPr>
          <w:p>
            <w:pPr>
              <w:pBdr>
                <w:top w:val="none" w:color="auto" w:sz="0" w:space="0"/>
                <w:left w:val="none" w:color="auto" w:sz="0" w:space="0"/>
                <w:bottom w:val="none" w:color="auto" w:sz="0" w:space="0"/>
                <w:right w:val="none" w:color="auto" w:sz="0" w:space="0"/>
                <w:between w:val="none" w:color="auto" w:sz="0" w:space="0"/>
              </w:pBdr>
              <w:jc w:val="both"/>
              <w:rPr>
                <w:rFonts w:ascii="宋体" w:hAnsi="宋体" w:cs="宋体"/>
                <w:color w:val="000000"/>
                <w:sz w:val="24"/>
                <w:szCs w:val="24"/>
                <w:lang w:eastAsia="zh-CN" w:bidi="ar-SA"/>
              </w:rPr>
            </w:pPr>
            <w:r>
              <w:rPr>
                <w:rFonts w:hint="eastAsia" w:ascii="宋体" w:hAnsi="宋体" w:cs="宋体"/>
                <w:color w:val="000000"/>
                <w:sz w:val="24"/>
                <w:szCs w:val="24"/>
                <w:lang w:eastAsia="zh-CN" w:bidi="ar-SA"/>
              </w:rPr>
              <w:t>责令改正并退回，处骗取金额4倍以上5倍以下罚款。属于参保人员的，暂停其8个月以上12个月以下医疗费用联网结算。</w:t>
            </w:r>
          </w:p>
        </w:tc>
      </w:tr>
    </w:tbl>
    <w:p>
      <w:pPr>
        <w:pStyle w:val="3"/>
        <w:shd w:val="clear" w:color="auto" w:fill="FFFFFF"/>
        <w:spacing w:before="0" w:beforeAutospacing="0" w:after="0" w:afterAutospacing="0" w:line="560" w:lineRule="exact"/>
        <w:jc w:val="both"/>
        <w:rPr>
          <w:rFonts w:hint="eastAsia" w:ascii="宋体" w:hAnsi="宋体"/>
          <w:szCs w:val="24"/>
        </w:rPr>
      </w:pPr>
      <w:r>
        <w:rPr>
          <w:rFonts w:hint="eastAsia" w:ascii="宋体" w:hAnsi="宋体"/>
          <w:szCs w:val="24"/>
        </w:rPr>
        <w:t>注：本裁量基准所称“以上”均含本数，“以下”均不含本数，但数额或倍数为法定的最高限的均包含本数。</w:t>
      </w:r>
    </w:p>
    <w:p/>
    <w:sectPr>
      <w:pgSz w:w="16838" w:h="11906" w:orient="landscape"/>
      <w:pgMar w:top="1587"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YmZiNDQ1MjhmZDJhOGRkZjRkNDg3OWYzMGJkYzYifQ=="/>
  </w:docVars>
  <w:rsids>
    <w:rsidRoot w:val="4DFD77E7"/>
    <w:rsid w:val="26037B0A"/>
    <w:rsid w:val="4DFD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pPr>
    <w:rPr>
      <w:b/>
      <w:bCs/>
      <w:sz w:val="32"/>
      <w:szCs w:val="32"/>
    </w:rPr>
  </w:style>
  <w:style w:type="paragraph" w:styleId="3">
    <w:name w:val="Normal (Web)"/>
    <w:basedOn w:val="1"/>
    <w:qFormat/>
    <w:uiPriority w:val="0"/>
    <w:pPr>
      <w:spacing w:before="100" w:beforeAutospacing="1" w:after="100" w:afterAutospacing="1"/>
    </w:pPr>
    <w:rPr>
      <w:sz w:val="24"/>
      <w:lang w:eastAsia="zh-CN"/>
    </w:rPr>
  </w:style>
  <w:style w:type="character" w:styleId="6">
    <w:name w:val="page number"/>
    <w:basedOn w:val="5"/>
    <w:qFormat/>
    <w:uiPriority w:val="0"/>
  </w:style>
  <w:style w:type="paragraph" w:customStyle="1" w:styleId="7">
    <w:name w:val="Footer"/>
    <w:unhideWhenUsed/>
    <w:qFormat/>
    <w:uiPriority w:val="99"/>
    <w:pPr>
      <w:pBdr>
        <w:top w:val="none" w:color="000000" w:sz="0" w:space="0"/>
        <w:left w:val="none" w:color="000000" w:sz="0" w:space="0"/>
        <w:bottom w:val="none" w:color="000000" w:sz="0" w:space="0"/>
        <w:right w:val="none" w:color="000000" w:sz="0" w:space="0"/>
        <w:between w:val="none" w:color="000000" w:sz="0" w:space="0"/>
      </w:pBdr>
      <w:tabs>
        <w:tab w:val="center" w:pos="7143"/>
        <w:tab w:val="right" w:pos="14287"/>
      </w:tabs>
    </w:pPr>
    <w:rPr>
      <w:rFonts w:ascii="Times New Roman" w:hAnsi="Times New Roman" w:eastAsia="宋体" w:cs="Times New Roman"/>
      <w:szCs w:val="22"/>
      <w:lang w:val="en-US"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2023-10-31T10:26:00Z</dcterms:created>
  <dc:creator>纯粹几何</dc:creator>
  <cp:lastModifiedBy>cj</cp:lastModifiedBy>
  <dcterms:modified xsi:type="dcterms:W3CDTF">2023-11-02T02:24:12Z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511F4AAF413045CABA119E46889ADCDC_11</vt:lpwstr>
  </property>
</Properties>
</file>