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 xml:space="preserve">附件4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湖南省居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民基本医疗保险门诊慢特病单列支付药品（2022版）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一、慢性再生障碍性贫血</w:t>
      </w:r>
    </w:p>
    <w:tbl>
      <w:tblPr>
        <w:tblStyle w:val="2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977"/>
        <w:gridCol w:w="1356"/>
        <w:gridCol w:w="2160"/>
        <w:gridCol w:w="1893"/>
        <w:gridCol w:w="1103"/>
        <w:gridCol w:w="958"/>
        <w:gridCol w:w="1049"/>
        <w:gridCol w:w="31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药品名称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剂型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用法用量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治疗疗程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药品费用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限额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报销比例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医保支付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限额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限制性条件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环孢素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口服常释剂型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每日2次，每次75-125mg</w:t>
            </w: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长期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1200元/月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60%</w:t>
            </w:r>
          </w:p>
        </w:tc>
        <w:tc>
          <w:tcPr>
            <w:tcW w:w="36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720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二、慢性乙型肝炎：连续使用6个月无效时停药，连续使用不超过12个月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药品名称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剂型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用法用量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治疗疗程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药品费用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限额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报销比例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医保支付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限额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限制性条件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聚乙二醇干扰素α-2b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注射液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0.5ml:180ug：135μg(50万U)/0.5ml/支(预充式);每周一针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长期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2100元/月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60%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1260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限丙肝、慢性活动性乙肝，连续使用6个月无效时停药，连续使用不超过12个月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三、强直性脊柱炎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药品名称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剂型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用法用量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治疗疗程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药品费用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限额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报销比例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医保支付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限额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限制性条件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重组人Ⅱ型肿瘤坏死因子受体-抗体融合蛋白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注射液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25mg/支，每次1支，2次/W。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长期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2500元/月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60%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1500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限诊断明确的类风湿关节炎经传统DMARDs治疗 3-6个月疾病活动度下降低于50%者；诊断明确的强直性脊柱炎（不含放射学前期中轴性脊柱关节炎）NSAIDs充分治疗3个月疾病活动度下降低于50%者；并需风湿病专科医师处方。限成人重度斑块状银屑病。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四、子宫内膜异位（术后6个月内）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药品名称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剂型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用法用量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治疗疗程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药品费用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限额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报销比例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医保支付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限额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限制性条件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亮丙瑞林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微球注射剂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1支/月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皮下注射，成人每4周1次，每次3.75mg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1200元/月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60%</w:t>
            </w:r>
          </w:p>
        </w:tc>
        <w:tc>
          <w:tcPr>
            <w:tcW w:w="3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720</w:t>
            </w:r>
          </w:p>
        </w:tc>
        <w:tc>
          <w:tcPr>
            <w:tcW w:w="11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曲普瑞林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注射剂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1支/月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皮下注射，每四周注射一次本品3.75毫克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戈舍瑞林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缓释植入剂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1支/月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皮下注射，成人每28天1次，每次3.6mg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地诺孕素片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片剂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每日一片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五、艾滋病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药品名称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剂型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用法用量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治疗疗程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药品费用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限额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报销比例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医保支付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限额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限制性条件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恩曲他滨替诺福韦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口服常释剂型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与其他抗反转录病毒药物联用，一日一次，一次一片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需长期服用。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250元/月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60%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限艾滋病病毒感染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YmU0OWU3ZjQwY2RlZGI2NTFhOWJiY2M5ZjMxMWMifQ=="/>
  </w:docVars>
  <w:rsids>
    <w:rsidRoot w:val="66874117"/>
    <w:rsid w:val="06E85D52"/>
    <w:rsid w:val="65A34BBE"/>
    <w:rsid w:val="6687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696</Words>
  <Characters>807</Characters>
  <Lines>0</Lines>
  <Paragraphs>0</Paragraphs>
  <TotalTime>19</TotalTime>
  <ScaleCrop>false</ScaleCrop>
  <LinksUpToDate>false</LinksUpToDate>
  <CharactersWithSpaces>809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2023-04-28T00:11:00Z</dcterms:created>
  <dc:creator>许运琴</dc:creator>
  <cp:lastModifiedBy>许运琴</cp:lastModifiedBy>
  <dcterms:modified xsi:type="dcterms:W3CDTF">2023-07-30T04:06:04Z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96278763AE634B499058160ACAFA395E_11</vt:lpwstr>
  </property>
</Properties>
</file>