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600" w:lineRule="exact"/>
        <w:textAlignment w:val="auto"/>
        <w:rPr>
          <w:rFonts w:ascii="Times New Roman" w:hAnsi="Times New Roman" w:eastAsia="文星简小标宋"/>
          <w:color w:val="FF0000"/>
          <w:spacing w:val="-12"/>
          <w:w w:val="64"/>
          <w:sz w:val="92"/>
          <w:szCs w:val="92"/>
        </w:rPr>
      </w:pPr>
      <w:bookmarkStart w:id="1" w:name="_GoBack"/>
      <w:bookmarkEnd w:id="1"/>
    </w:p>
    <w:p>
      <w:pPr>
        <w:tabs>
          <w:tab w:val="left" w:pos="606"/>
        </w:tabs>
        <w:jc w:val="center"/>
        <w:rPr>
          <w:rFonts w:ascii="Times New Roman" w:hAnsi="Times New Roman" w:eastAsia="方正小标宋简体"/>
          <w:color w:val="FF0000"/>
          <w:spacing w:val="40"/>
          <w:w w:val="50"/>
          <w:sz w:val="106"/>
          <w:szCs w:val="106"/>
        </w:rPr>
      </w:pPr>
      <w:r>
        <w:rPr>
          <w:rFonts w:hint="eastAsia" w:ascii="Times New Roman" w:hAnsi="Times New Roman" w:eastAsia="方正小标宋简体"/>
          <w:color w:val="FF0000"/>
          <w:spacing w:val="40"/>
          <w:w w:val="66"/>
          <w:sz w:val="112"/>
          <w:szCs w:val="112"/>
        </w:rPr>
        <w:t>天津市医疗保障局文件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b/>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b/>
          <w:color w:val="000000"/>
          <w:sz w:val="44"/>
          <w:szCs w:val="44"/>
        </w:rPr>
      </w:pPr>
    </w:p>
    <w:p>
      <w:pPr>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津医保</w:t>
      </w:r>
      <w:r>
        <w:rPr>
          <w:rFonts w:hint="eastAsia" w:ascii="Times New Roman" w:hAnsi="Times New Roman" w:eastAsia="仿宋_GB2312"/>
          <w:color w:val="000000"/>
          <w:sz w:val="32"/>
          <w:szCs w:val="32"/>
        </w:rPr>
        <w:t>规</w:t>
      </w: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rPr>
        <w:t>2</w:t>
      </w:r>
      <w:r>
        <w:rPr>
          <w:rFonts w:hint="eastAsia" w:ascii="Times New Roman" w:hAnsi="Times New Roman" w:eastAsia="仿宋_GB2312"/>
          <w:color w:val="000000"/>
          <w:sz w:val="32"/>
          <w:szCs w:val="32"/>
          <w:lang w:val="en-US" w:eastAsia="zh-CN"/>
        </w:rPr>
        <w:t>3</w:t>
      </w:r>
      <w:r>
        <w:rPr>
          <w:rFonts w:ascii="Times New Roman" w:hAnsi="Times New Roman" w:eastAsia="仿宋_GB2312"/>
          <w:color w:val="000000"/>
          <w:sz w:val="32"/>
          <w:szCs w:val="32"/>
        </w:rPr>
        <w:t>〕</w:t>
      </w:r>
      <w:r>
        <w:rPr>
          <w:rFonts w:hint="eastAsia" w:eastAsia="仿宋_GB2312"/>
          <w:color w:val="000000"/>
          <w:sz w:val="32"/>
          <w:szCs w:val="32"/>
          <w:lang w:val="en-US" w:eastAsia="zh-CN"/>
        </w:rPr>
        <w:t>3</w:t>
      </w:r>
      <w:r>
        <w:rPr>
          <w:rFonts w:ascii="Times New Roman" w:hAnsi="Times New Roman" w:eastAsia="仿宋_GB2312"/>
          <w:color w:val="000000"/>
          <w:sz w:val="32"/>
          <w:szCs w:val="32"/>
        </w:rPr>
        <w:t>号</w:t>
      </w:r>
    </w:p>
    <w:p>
      <w:pPr>
        <w:spacing w:line="578" w:lineRule="exact"/>
        <w:rPr>
          <w:rFonts w:ascii="Times New Roman" w:hAnsi="Times New Roman"/>
        </w:rPr>
      </w:pPr>
      <w:r>
        <w:rPr>
          <w:rFonts w:ascii="Times New Roman" w:hAnsi="Times New Roman" w:eastAsia="文星简小标宋"/>
          <w:bCs/>
          <w:sz w:val="44"/>
          <w:szCs w:val="44"/>
        </w:rPr>
        <w:pict>
          <v:line id="_x0000_s1041" o:spid="_x0000_s1041" o:spt="20" style="position:absolute;left:0pt;margin-left:-5.95pt;margin-top:4.35pt;height:0pt;width:453.25pt;z-index:251659264;mso-width-relative:page;mso-height-relative:page;" stroked="t" coordsize="21600,21600">
            <v:path arrowok="t"/>
            <v:fill focussize="0,0"/>
            <v:stroke weight="2.25pt" color="#FF0000"/>
            <v:imagedata o:title=""/>
            <o:lock v:ext="edit"/>
          </v:line>
        </w:pict>
      </w:r>
    </w:p>
    <w:p>
      <w:pPr>
        <w:pStyle w:val="5"/>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文星简小标宋"/>
          <w:bCs/>
          <w:szCs w:val="44"/>
        </w:rPr>
      </w:pPr>
      <w:bookmarkStart w:id="0" w:name="Bt"/>
      <w:bookmarkEnd w:id="0"/>
      <w:r>
        <w:rPr>
          <w:rFonts w:hint="eastAsia" w:ascii="Times New Roman" w:hAnsi="Times New Roman" w:eastAsia="文星简小标宋"/>
          <w:bCs/>
          <w:szCs w:val="44"/>
        </w:rPr>
        <w:t>市医保局关于</w:t>
      </w:r>
      <w:r>
        <w:rPr>
          <w:rFonts w:hint="default" w:ascii="Times New Roman" w:hAnsi="Times New Roman" w:eastAsia="文星简小标宋"/>
          <w:bCs/>
          <w:szCs w:val="44"/>
        </w:rPr>
        <w:t>做好</w:t>
      </w:r>
      <w:r>
        <w:rPr>
          <w:rFonts w:hint="eastAsia" w:ascii="Times New Roman" w:hAnsi="Times New Roman" w:eastAsia="文星简小标宋"/>
          <w:bCs/>
          <w:szCs w:val="44"/>
        </w:rPr>
        <w:t>我市长期护理保险</w:t>
      </w:r>
    </w:p>
    <w:p>
      <w:pPr>
        <w:pStyle w:val="5"/>
        <w:pageBreakBefore w:val="0"/>
        <w:widowControl w:val="0"/>
        <w:kinsoku/>
        <w:wordWrap/>
        <w:overflowPunct/>
        <w:topLinePunct w:val="0"/>
        <w:autoSpaceDE/>
        <w:autoSpaceDN/>
        <w:bidi w:val="0"/>
        <w:adjustRightInd/>
        <w:snapToGrid/>
        <w:spacing w:line="590" w:lineRule="exact"/>
        <w:textAlignment w:val="auto"/>
        <w:rPr>
          <w:rFonts w:ascii="Times New Roman" w:hAnsi="Times New Roman" w:eastAsia="文星简小标宋"/>
          <w:bCs/>
          <w:szCs w:val="44"/>
        </w:rPr>
      </w:pPr>
      <w:r>
        <w:rPr>
          <w:rFonts w:hint="eastAsia" w:ascii="Times New Roman" w:hAnsi="Times New Roman" w:eastAsia="文星简小标宋"/>
          <w:bCs/>
          <w:szCs w:val="44"/>
        </w:rPr>
        <w:t>亲情照护管理</w:t>
      </w:r>
      <w:r>
        <w:rPr>
          <w:rFonts w:hint="default" w:ascii="Times New Roman" w:hAnsi="Times New Roman" w:eastAsia="文星简小标宋"/>
          <w:bCs/>
          <w:szCs w:val="44"/>
        </w:rPr>
        <w:t>服务</w:t>
      </w:r>
      <w:r>
        <w:rPr>
          <w:rFonts w:hint="eastAsia" w:ascii="Times New Roman" w:hAnsi="Times New Roman" w:eastAsia="文星简小标宋"/>
          <w:bCs/>
          <w:szCs w:val="44"/>
        </w:rPr>
        <w:t>有关工作的通知</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各区医保局，各有关单位：</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为进一步做好</w:t>
      </w:r>
      <w:r>
        <w:rPr>
          <w:rFonts w:hint="default" w:ascii="Times New Roman" w:hAnsi="Times New Roman" w:eastAsia="仿宋_GB2312" w:cs="仿宋_GB2312"/>
          <w:sz w:val="32"/>
          <w:szCs w:val="32"/>
        </w:rPr>
        <w:t>我市</w:t>
      </w:r>
      <w:r>
        <w:rPr>
          <w:rFonts w:hint="eastAsia" w:ascii="Times New Roman" w:hAnsi="Times New Roman" w:eastAsia="仿宋_GB2312" w:cs="仿宋_GB2312"/>
          <w:sz w:val="32"/>
          <w:szCs w:val="32"/>
        </w:rPr>
        <w:t>长期护理保险（以下简称“长护险”）</w:t>
      </w:r>
      <w:r>
        <w:rPr>
          <w:rFonts w:hint="default" w:ascii="Times New Roman" w:hAnsi="Times New Roman" w:eastAsia="仿宋_GB2312" w:cs="仿宋_GB2312"/>
          <w:sz w:val="32"/>
          <w:szCs w:val="32"/>
        </w:rPr>
        <w:t>亲情照护管理服务工作，提升长期护理服务质量，规范长护险基金使用，</w:t>
      </w:r>
      <w:r>
        <w:rPr>
          <w:rFonts w:hint="eastAsia" w:ascii="Times New Roman" w:hAnsi="Times New Roman" w:eastAsia="仿宋_GB2312" w:cs="仿宋_GB2312"/>
          <w:color w:val="000000"/>
          <w:kern w:val="2"/>
          <w:sz w:val="32"/>
          <w:szCs w:val="32"/>
          <w:lang w:val="en-US" w:eastAsia="zh-CN" w:bidi="ar"/>
        </w:rPr>
        <w:t>根据</w:t>
      </w:r>
      <w:r>
        <w:rPr>
          <w:rFonts w:hint="default" w:ascii="Times New Roman" w:hAnsi="Times New Roman" w:eastAsia="仿宋_GB2312" w:cs="仿宋_GB2312"/>
          <w:color w:val="000000"/>
          <w:kern w:val="2"/>
          <w:sz w:val="32"/>
          <w:szCs w:val="32"/>
          <w:lang w:eastAsia="zh-CN" w:bidi="ar"/>
        </w:rPr>
        <w:t>《天津市人民政府办公厅关于印发天津市深入开展长期护理保险制度试点实施方案的通知》（津政办规</w:t>
      </w:r>
      <w:r>
        <w:rPr>
          <w:rFonts w:hint="default" w:ascii="Times New Roman" w:hAnsi="Times New Roman" w:eastAsia="仿宋_GB2312" w:cs="Times New Roman"/>
          <w:color w:val="000000"/>
          <w:kern w:val="2"/>
          <w:sz w:val="32"/>
          <w:szCs w:val="32"/>
          <w:lang w:eastAsia="zh-CN" w:bidi="ar"/>
        </w:rPr>
        <w:t>〔2022〕17号</w:t>
      </w:r>
      <w:r>
        <w:rPr>
          <w:rFonts w:hint="default" w:ascii="Times New Roman" w:hAnsi="Times New Roman" w:eastAsia="仿宋_GB2312" w:cs="仿宋_GB2312"/>
          <w:color w:val="000000"/>
          <w:kern w:val="2"/>
          <w:sz w:val="32"/>
          <w:szCs w:val="32"/>
          <w:lang w:eastAsia="zh-CN" w:bidi="ar"/>
        </w:rPr>
        <w:t>）等文件精神</w:t>
      </w:r>
      <w:r>
        <w:rPr>
          <w:rFonts w:hint="eastAsia" w:ascii="Times New Roman" w:hAnsi="Times New Roman" w:eastAsia="仿宋_GB2312" w:cs="仿宋_GB2312"/>
          <w:color w:val="000000"/>
          <w:kern w:val="2"/>
          <w:sz w:val="32"/>
          <w:szCs w:val="32"/>
          <w:lang w:val="en-US" w:eastAsia="zh-CN" w:bidi="ar"/>
        </w:rPr>
        <w:t>，结合</w:t>
      </w:r>
      <w:r>
        <w:rPr>
          <w:rFonts w:hint="eastAsia" w:ascii="Times New Roman" w:hAnsi="Times New Roman" w:eastAsia="仿宋_GB2312" w:cs="仿宋_GB2312"/>
          <w:color w:val="000000"/>
          <w:kern w:val="2"/>
          <w:sz w:val="32"/>
          <w:szCs w:val="32"/>
          <w:lang w:val="en-US" w:eastAsia="zh-Hans" w:bidi="ar"/>
        </w:rPr>
        <w:t>我</w:t>
      </w:r>
      <w:r>
        <w:rPr>
          <w:rFonts w:hint="eastAsia" w:ascii="Times New Roman" w:hAnsi="Times New Roman" w:eastAsia="仿宋_GB2312" w:cs="仿宋_GB2312"/>
          <w:color w:val="000000"/>
          <w:kern w:val="2"/>
          <w:sz w:val="32"/>
          <w:szCs w:val="32"/>
          <w:lang w:val="en-US" w:eastAsia="zh-CN" w:bidi="ar"/>
        </w:rPr>
        <w:t>市实际，</w:t>
      </w:r>
      <w:r>
        <w:rPr>
          <w:rFonts w:hint="default" w:ascii="Times New Roman" w:hAnsi="Times New Roman" w:eastAsia="仿宋_GB2312" w:cs="仿宋_GB2312"/>
          <w:sz w:val="32"/>
          <w:szCs w:val="32"/>
        </w:rPr>
        <w:t>现就有关事项通知如下：</w:t>
      </w:r>
    </w:p>
    <w:p>
      <w:pPr>
        <w:pageBreakBefore w:val="0"/>
        <w:widowControl w:val="0"/>
        <w:kinsoku/>
        <w:wordWrap/>
        <w:overflowPunct/>
        <w:topLinePunct w:val="0"/>
        <w:autoSpaceDE/>
        <w:autoSpaceDN/>
        <w:bidi w:val="0"/>
        <w:adjustRightInd/>
        <w:snapToGrid/>
        <w:spacing w:line="590" w:lineRule="exact"/>
        <w:ind w:firstLine="0"/>
        <w:textAlignment w:val="auto"/>
        <w:rPr>
          <w:rFonts w:hint="default" w:ascii="Times New Roman" w:hAnsi="Times New Roman" w:eastAsia="黑体" w:cs="黑体"/>
          <w:sz w:val="32"/>
          <w:szCs w:val="32"/>
        </w:rPr>
      </w:pPr>
      <w:r>
        <w:rPr>
          <w:rFonts w:ascii="Times New Roman" w:hAnsi="Times New Roman" w:eastAsia="黑体" w:cs="黑体"/>
          <w:sz w:val="32"/>
          <w:szCs w:val="32"/>
        </w:rPr>
        <w:t xml:space="preserve">    一、做好亲情照护人员培训工作</w:t>
      </w:r>
    </w:p>
    <w:p>
      <w:pPr>
        <w:pStyle w:val="6"/>
        <w:pageBreakBefore w:val="0"/>
        <w:widowControl w:val="0"/>
        <w:tabs>
          <w:tab w:val="left" w:pos="7920"/>
        </w:tabs>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sz w:val="32"/>
          <w:szCs w:val="32"/>
        </w:rPr>
        <w:sectPr>
          <w:footerReference r:id="rId3" w:type="default"/>
          <w:footerReference r:id="rId4" w:type="even"/>
          <w:pgSz w:w="11906" w:h="16838"/>
          <w:pgMar w:top="2098" w:right="1474" w:bottom="1984" w:left="1587" w:header="851" w:footer="992" w:gutter="0"/>
          <w:cols w:space="425" w:num="1"/>
          <w:docGrid w:type="lines" w:linePitch="312" w:charSpace="0"/>
        </w:sectPr>
      </w:pPr>
      <w:r>
        <w:rPr>
          <w:rFonts w:ascii="Times New Roman" w:hAnsi="Times New Roman" w:eastAsia="仿宋_GB2312"/>
          <w:sz w:val="32"/>
          <w:szCs w:val="32"/>
        </w:rPr>
        <w:t>为提高</w:t>
      </w:r>
      <w:r>
        <w:rPr>
          <w:rFonts w:ascii="Times New Roman" w:hAnsi="Times New Roman" w:eastAsia="仿宋_GB2312" w:cs="仿宋_GB2312"/>
          <w:sz w:val="32"/>
          <w:szCs w:val="32"/>
        </w:rPr>
        <w:t>参保人员</w:t>
      </w:r>
      <w:r>
        <w:rPr>
          <w:rFonts w:hint="eastAsia" w:ascii="Times New Roman" w:hAnsi="Times New Roman" w:eastAsia="仿宋_GB2312"/>
          <w:sz w:val="32"/>
          <w:szCs w:val="32"/>
        </w:rPr>
        <w:t>自主选定的照护人员</w:t>
      </w:r>
      <w:r>
        <w:rPr>
          <w:rFonts w:ascii="Times New Roman" w:hAnsi="Times New Roman" w:eastAsia="仿宋_GB2312"/>
          <w:sz w:val="32"/>
          <w:szCs w:val="32"/>
        </w:rPr>
        <w:t>（以下简称“照护人员”）</w:t>
      </w:r>
    </w:p>
    <w:p>
      <w:pPr>
        <w:pStyle w:val="6"/>
        <w:pageBreakBefore w:val="0"/>
        <w:widowControl w:val="0"/>
        <w:tabs>
          <w:tab w:val="left" w:pos="7920"/>
        </w:tabs>
        <w:kinsoku/>
        <w:wordWrap/>
        <w:overflowPunct/>
        <w:topLinePunct w:val="0"/>
        <w:autoSpaceDE/>
        <w:autoSpaceDN/>
        <w:bidi w:val="0"/>
        <w:adjustRightInd/>
        <w:snapToGrid/>
        <w:spacing w:line="590" w:lineRule="exact"/>
        <w:ind w:left="0" w:leftChars="0" w:firstLine="0" w:firstLineChars="0"/>
        <w:textAlignment w:val="auto"/>
        <w:rPr>
          <w:rFonts w:ascii="Times New Roman" w:hAnsi="Times New Roman" w:eastAsia="仿宋_GB2312"/>
          <w:sz w:val="32"/>
          <w:szCs w:val="32"/>
        </w:rPr>
      </w:pPr>
      <w:r>
        <w:rPr>
          <w:rFonts w:ascii="Times New Roman" w:hAnsi="Times New Roman" w:eastAsia="仿宋_GB2312"/>
          <w:sz w:val="32"/>
          <w:szCs w:val="32"/>
        </w:rPr>
        <w:t>护理服务能力，确保提供优质护理服务，照护人员同时符合以下条件的，纳入亲情照护人员管理。</w:t>
      </w:r>
    </w:p>
    <w:p>
      <w:pPr>
        <w:pStyle w:val="6"/>
        <w:pageBreakBefore w:val="0"/>
        <w:widowControl w:val="0"/>
        <w:tabs>
          <w:tab w:val="left" w:pos="7920"/>
        </w:tabs>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sz w:val="32"/>
          <w:szCs w:val="32"/>
        </w:rPr>
      </w:pPr>
      <w:r>
        <w:rPr>
          <w:rFonts w:hint="eastAsia" w:ascii="楷体_GB2312" w:hAnsi="楷体_GB2312" w:eastAsia="楷体_GB2312" w:cs="楷体_GB2312"/>
          <w:sz w:val="32"/>
          <w:szCs w:val="32"/>
        </w:rPr>
        <w:t>（一）专业培训。</w:t>
      </w:r>
      <w:r>
        <w:rPr>
          <w:rFonts w:hint="eastAsia" w:ascii="Times New Roman" w:hAnsi="Times New Roman" w:eastAsia="仿宋_GB2312"/>
          <w:sz w:val="32"/>
          <w:szCs w:val="32"/>
          <w:lang w:val="en-US" w:eastAsia="zh-Hans"/>
        </w:rPr>
        <w:t>参加</w:t>
      </w:r>
      <w:r>
        <w:rPr>
          <w:rFonts w:ascii="Times New Roman" w:hAnsi="Times New Roman" w:eastAsia="仿宋_GB2312"/>
          <w:sz w:val="32"/>
          <w:szCs w:val="32"/>
        </w:rPr>
        <w:t>符合相关规定的培训机构</w:t>
      </w:r>
      <w:r>
        <w:rPr>
          <w:rFonts w:hint="eastAsia" w:ascii="Times New Roman" w:hAnsi="Times New Roman" w:eastAsia="仿宋_GB2312"/>
          <w:sz w:val="32"/>
          <w:szCs w:val="32"/>
          <w:lang w:val="en-US" w:eastAsia="zh-Hans"/>
        </w:rPr>
        <w:t>的</w:t>
      </w:r>
      <w:r>
        <w:rPr>
          <w:rFonts w:ascii="Times New Roman" w:hAnsi="Times New Roman" w:eastAsia="仿宋_GB2312"/>
          <w:sz w:val="32"/>
          <w:szCs w:val="32"/>
        </w:rPr>
        <w:t>养老护理员、病患护理员、健康照护员、医疗护理员或长期照护师</w:t>
      </w:r>
      <w:r>
        <w:rPr>
          <w:rFonts w:hint="eastAsia" w:ascii="Times New Roman" w:hAnsi="Times New Roman" w:eastAsia="仿宋_GB2312"/>
          <w:sz w:val="32"/>
          <w:szCs w:val="32"/>
          <w:lang w:val="en-US" w:eastAsia="zh-Hans"/>
        </w:rPr>
        <w:t>等培训合格</w:t>
      </w:r>
      <w:r>
        <w:rPr>
          <w:rFonts w:hint="default" w:ascii="Times New Roman" w:hAnsi="Times New Roman" w:eastAsia="仿宋_GB2312"/>
          <w:sz w:val="32"/>
          <w:szCs w:val="32"/>
          <w:lang w:eastAsia="zh-Hans"/>
        </w:rPr>
        <w:t>，</w:t>
      </w:r>
      <w:r>
        <w:rPr>
          <w:rFonts w:hint="eastAsia" w:ascii="Times New Roman" w:hAnsi="Times New Roman" w:eastAsia="仿宋_GB2312"/>
          <w:sz w:val="32"/>
          <w:szCs w:val="32"/>
          <w:lang w:val="en-US" w:eastAsia="zh-Hans"/>
        </w:rPr>
        <w:t>并取得结业证书</w:t>
      </w:r>
      <w:r>
        <w:rPr>
          <w:rFonts w:ascii="Times New Roman" w:hAnsi="Times New Roman" w:eastAsia="仿宋_GB2312"/>
          <w:sz w:val="32"/>
          <w:szCs w:val="32"/>
        </w:rPr>
        <w:t>。医师、助理医师、护士可不参加该培训。</w:t>
      </w:r>
    </w:p>
    <w:p>
      <w:pPr>
        <w:pStyle w:val="6"/>
        <w:pageBreakBefore w:val="0"/>
        <w:widowControl w:val="0"/>
        <w:tabs>
          <w:tab w:val="left" w:pos="7920"/>
        </w:tabs>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cs="仿宋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Hans"/>
        </w:rPr>
        <w:t>实践</w:t>
      </w:r>
      <w:r>
        <w:rPr>
          <w:rFonts w:hint="eastAsia" w:ascii="楷体_GB2312" w:hAnsi="楷体_GB2312" w:eastAsia="楷体_GB2312" w:cs="楷体_GB2312"/>
          <w:sz w:val="32"/>
          <w:szCs w:val="32"/>
        </w:rPr>
        <w:t>培训。</w:t>
      </w:r>
      <w:r>
        <w:rPr>
          <w:rFonts w:ascii="Times New Roman" w:hAnsi="Times New Roman" w:eastAsia="仿宋_GB2312" w:cs="仿宋_GB2312"/>
          <w:sz w:val="32"/>
          <w:szCs w:val="32"/>
        </w:rPr>
        <w:t>参保人员按规定接受定点护理机构全部居家护理服务，在此期间，定点护理机构专业护理人员对照护人员进行实践培训。照护人员接受实践培训不少于</w:t>
      </w:r>
      <w:r>
        <w:rPr>
          <w:rFonts w:hint="default" w:eastAsia="仿宋_GB2312" w:cs="仿宋_GB2312"/>
          <w:sz w:val="32"/>
          <w:szCs w:val="32"/>
          <w:lang w:eastAsia="zh-Hans"/>
        </w:rPr>
        <w:t>2</w:t>
      </w:r>
      <w:r>
        <w:rPr>
          <w:rFonts w:ascii="Times New Roman" w:hAnsi="Times New Roman" w:eastAsia="仿宋_GB2312" w:cs="仿宋_GB2312"/>
          <w:sz w:val="32"/>
          <w:szCs w:val="32"/>
        </w:rPr>
        <w:t>个月</w:t>
      </w:r>
      <w:r>
        <w:rPr>
          <w:rFonts w:hint="default"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Hans"/>
        </w:rPr>
        <w:t>年</w:t>
      </w:r>
      <w:r>
        <w:rPr>
          <w:rFonts w:ascii="Times New Roman" w:hAnsi="Times New Roman" w:eastAsia="仿宋_GB2312" w:cs="仿宋_GB2312"/>
          <w:sz w:val="32"/>
          <w:szCs w:val="32"/>
        </w:rPr>
        <w:t>。</w:t>
      </w:r>
    </w:p>
    <w:p>
      <w:pPr>
        <w:pStyle w:val="6"/>
        <w:pageBreakBefore w:val="0"/>
        <w:widowControl w:val="0"/>
        <w:tabs>
          <w:tab w:val="left" w:pos="7920"/>
        </w:tabs>
        <w:kinsoku/>
        <w:wordWrap/>
        <w:overflowPunct/>
        <w:topLinePunct w:val="0"/>
        <w:autoSpaceDE/>
        <w:autoSpaceDN/>
        <w:bidi w:val="0"/>
        <w:adjustRightInd/>
        <w:snapToGrid/>
        <w:spacing w:line="590" w:lineRule="exact"/>
        <w:ind w:firstLine="0"/>
        <w:textAlignment w:val="auto"/>
        <w:rPr>
          <w:rFonts w:hint="default" w:ascii="Times New Roman" w:hAnsi="Times New Roman" w:eastAsia="黑体" w:cs="黑体"/>
          <w:sz w:val="32"/>
          <w:szCs w:val="32"/>
        </w:rPr>
      </w:pPr>
      <w:r>
        <w:rPr>
          <w:rFonts w:ascii="Times New Roman" w:hAnsi="Times New Roman" w:eastAsia="黑体" w:cs="黑体"/>
          <w:sz w:val="32"/>
          <w:szCs w:val="32"/>
        </w:rPr>
        <w:t xml:space="preserve">    二、做好亲情照护人员实名管理工作</w:t>
      </w:r>
    </w:p>
    <w:p>
      <w:pPr>
        <w:pStyle w:val="6"/>
        <w:pageBreakBefore w:val="0"/>
        <w:widowControl w:val="0"/>
        <w:tabs>
          <w:tab w:val="left" w:pos="7920"/>
        </w:tabs>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参保人员由亲情照护人员提供基本生活护理服务的，参保人员和亲情照护人员实行1对1绑定管理。参保人员、亲情照护人员协商一致后向委托经办机构提出申请绑定或解绑。委托经办机构</w:t>
      </w:r>
      <w:r>
        <w:rPr>
          <w:rFonts w:hint="eastAsia" w:ascii="Times New Roman" w:hAnsi="Times New Roman" w:eastAsia="仿宋_GB2312"/>
          <w:sz w:val="32"/>
          <w:szCs w:val="32"/>
        </w:rPr>
        <w:t>应通过社区走访、问询调查等方式，复查</w:t>
      </w:r>
      <w:r>
        <w:rPr>
          <w:rFonts w:ascii="Times New Roman" w:hAnsi="Times New Roman" w:eastAsia="仿宋_GB2312"/>
          <w:sz w:val="32"/>
          <w:szCs w:val="32"/>
        </w:rPr>
        <w:t>参保人员</w:t>
      </w:r>
      <w:r>
        <w:rPr>
          <w:rFonts w:hint="eastAsia" w:ascii="Times New Roman" w:hAnsi="Times New Roman" w:eastAsia="仿宋_GB2312"/>
          <w:sz w:val="32"/>
          <w:szCs w:val="32"/>
        </w:rPr>
        <w:t>重度失能状态</w:t>
      </w:r>
      <w:r>
        <w:rPr>
          <w:rFonts w:ascii="Times New Roman" w:hAnsi="Times New Roman" w:eastAsia="仿宋_GB2312"/>
          <w:sz w:val="32"/>
          <w:szCs w:val="32"/>
        </w:rPr>
        <w:t>，符合条件的，</w:t>
      </w:r>
      <w:r>
        <w:rPr>
          <w:rFonts w:ascii="Times New Roman" w:hAnsi="Times New Roman" w:eastAsia="仿宋_GB2312" w:cs="仿宋_GB2312"/>
          <w:sz w:val="32"/>
          <w:szCs w:val="32"/>
          <w:lang w:bidi="ar"/>
        </w:rPr>
        <w:t>将参保</w:t>
      </w:r>
      <w:r>
        <w:rPr>
          <w:rFonts w:hint="eastAsia" w:ascii="Times New Roman" w:hAnsi="Times New Roman" w:eastAsia="仿宋_GB2312"/>
          <w:sz w:val="32"/>
          <w:szCs w:val="32"/>
        </w:rPr>
        <w:t>人员与亲情照护人员绑定情况录入长护险系统。参保人员申请与其他</w:t>
      </w:r>
      <w:r>
        <w:rPr>
          <w:rFonts w:hint="eastAsia" w:ascii="Times New Roman" w:hAnsi="Times New Roman" w:eastAsia="仿宋_GB2312"/>
          <w:sz w:val="32"/>
          <w:szCs w:val="32"/>
          <w:lang w:val="en-US" w:eastAsia="zh-Hans"/>
        </w:rPr>
        <w:t>符合条件的亲情</w:t>
      </w:r>
      <w:r>
        <w:rPr>
          <w:rFonts w:hint="eastAsia" w:ascii="Times New Roman" w:hAnsi="Times New Roman" w:eastAsia="仿宋_GB2312"/>
          <w:sz w:val="32"/>
          <w:szCs w:val="32"/>
        </w:rPr>
        <w:t>照护人员绑定的，自审核通过后的次月起按规</w:t>
      </w:r>
      <w:r>
        <w:rPr>
          <w:rFonts w:ascii="Times New Roman" w:hAnsi="Times New Roman" w:eastAsia="仿宋_GB2312"/>
          <w:sz w:val="32"/>
          <w:szCs w:val="32"/>
        </w:rPr>
        <w:t>定享受待遇。</w:t>
      </w:r>
    </w:p>
    <w:p>
      <w:pPr>
        <w:pStyle w:val="6"/>
        <w:pageBreakBefore w:val="0"/>
        <w:widowControl w:val="0"/>
        <w:tabs>
          <w:tab w:val="left" w:pos="7920"/>
        </w:tab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黑体"/>
          <w:sz w:val="32"/>
          <w:szCs w:val="32"/>
        </w:rPr>
      </w:pPr>
      <w:r>
        <w:rPr>
          <w:rFonts w:ascii="Times New Roman" w:hAnsi="Times New Roman" w:eastAsia="黑体" w:cs="黑体"/>
          <w:sz w:val="32"/>
          <w:szCs w:val="32"/>
        </w:rPr>
        <w:t>三、做好居家护理服务包执行工作</w:t>
      </w:r>
    </w:p>
    <w:p>
      <w:pPr>
        <w:pStyle w:val="6"/>
        <w:pageBreakBefore w:val="0"/>
        <w:widowControl w:val="0"/>
        <w:tabs>
          <w:tab w:val="left" w:pos="7920"/>
        </w:tabs>
        <w:kinsoku/>
        <w:wordWrap/>
        <w:overflowPunct/>
        <w:topLinePunct w:val="0"/>
        <w:autoSpaceDE/>
        <w:autoSpaceDN/>
        <w:bidi w:val="0"/>
        <w:adjustRightInd/>
        <w:snapToGrid/>
        <w:spacing w:line="590" w:lineRule="exact"/>
        <w:ind w:firstLine="0"/>
        <w:textAlignment w:val="auto"/>
        <w:rPr>
          <w:rFonts w:ascii="Times New Roman" w:hAnsi="Times New Roman" w:eastAsia="仿宋_GB2312"/>
          <w:sz w:val="32"/>
          <w:szCs w:val="32"/>
        </w:rPr>
      </w:pPr>
      <w:r>
        <w:rPr>
          <w:rFonts w:ascii="Times New Roman" w:hAnsi="Times New Roman" w:eastAsia="仿宋_GB2312"/>
          <w:sz w:val="32"/>
          <w:szCs w:val="32"/>
        </w:rPr>
        <w:t xml:space="preserve">    参保人员由亲情照护人员提供基本生活护理服务的，基本生活护理服务部分按照《居家护理亲情照护包》执行。在此基础上申请定点护理机构提供专业护理服务的，专业护理服务部分按照《居家护理定点护理机构专护包》执行。定点护理机构提供居家护理时，应指导参保人员合理选择护理服务项目，制定护理服务计划，并与之签订协议。</w:t>
      </w:r>
    </w:p>
    <w:p>
      <w:pPr>
        <w:pStyle w:val="6"/>
        <w:pageBreakBefore w:val="0"/>
        <w:widowControl w:val="0"/>
        <w:tabs>
          <w:tab w:val="left" w:pos="7920"/>
        </w:tabs>
        <w:kinsoku/>
        <w:wordWrap/>
        <w:overflowPunct/>
        <w:topLinePunct w:val="0"/>
        <w:autoSpaceDE/>
        <w:autoSpaceDN/>
        <w:bidi w:val="0"/>
        <w:adjustRightInd/>
        <w:snapToGrid/>
        <w:spacing w:line="590" w:lineRule="exact"/>
        <w:ind w:firstLine="640"/>
        <w:textAlignment w:val="auto"/>
        <w:rPr>
          <w:rFonts w:hint="default" w:ascii="Times New Roman" w:hAnsi="Times New Roman" w:eastAsia="黑体" w:cs="黑体"/>
          <w:sz w:val="32"/>
          <w:szCs w:val="32"/>
        </w:rPr>
      </w:pPr>
      <w:r>
        <w:rPr>
          <w:rFonts w:ascii="Times New Roman" w:hAnsi="Times New Roman" w:eastAsia="黑体" w:cs="黑体"/>
          <w:sz w:val="32"/>
          <w:szCs w:val="32"/>
        </w:rPr>
        <w:t>四、做好亲情照护待遇支付管理</w:t>
      </w:r>
      <w:r>
        <w:rPr>
          <w:rFonts w:eastAsia="黑体" w:cs="黑体"/>
          <w:sz w:val="32"/>
          <w:szCs w:val="32"/>
        </w:rPr>
        <w:t>工作</w:t>
      </w:r>
    </w:p>
    <w:p>
      <w:pPr>
        <w:pStyle w:val="6"/>
        <w:pageBreakBefore w:val="0"/>
        <w:widowControl w:val="0"/>
        <w:tabs>
          <w:tab w:val="left" w:pos="7920"/>
        </w:tabs>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参保人员由亲情照护人员提供基本生活护理服务的，基本生活护理服务部分按照规定标准由长护险基金支付给亲情照护人员。在享受亲情照护待遇的基础上，参保人员还可以申请定点护理机构提供专业护理服务。因住院、月中解绑、死亡等原因导致待遇不足月的，长护险基金按日支付。</w:t>
      </w:r>
    </w:p>
    <w:p>
      <w:pPr>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黑体"/>
          <w:sz w:val="32"/>
          <w:szCs w:val="32"/>
        </w:rPr>
      </w:pPr>
      <w:r>
        <w:rPr>
          <w:rFonts w:ascii="Times New Roman" w:hAnsi="Times New Roman" w:eastAsia="黑体" w:cs="黑体"/>
          <w:sz w:val="32"/>
          <w:szCs w:val="32"/>
        </w:rPr>
        <w:t>五、做好亲情照护服务行为监督工作</w:t>
      </w:r>
    </w:p>
    <w:p>
      <w:pPr>
        <w:pageBreakBefore w:val="0"/>
        <w:widowControl w:val="0"/>
        <w:kinsoku/>
        <w:wordWrap/>
        <w:overflowPunct/>
        <w:topLinePunct w:val="0"/>
        <w:autoSpaceDE/>
        <w:autoSpaceDN/>
        <w:bidi w:val="0"/>
        <w:adjustRightInd/>
        <w:snapToGrid/>
        <w:spacing w:line="590" w:lineRule="exact"/>
        <w:ind w:firstLine="640"/>
        <w:textAlignment w:val="auto"/>
        <w:rPr>
          <w:rFonts w:hint="default" w:ascii="Times New Roman" w:hAnsi="Times New Roman" w:eastAsia="仿宋_GB2312"/>
          <w:sz w:val="32"/>
          <w:szCs w:val="32"/>
          <w:lang w:eastAsia="zh-Hans"/>
        </w:rPr>
      </w:pPr>
      <w:r>
        <w:rPr>
          <w:rFonts w:ascii="Times New Roman" w:hAnsi="Times New Roman" w:eastAsia="仿宋_GB2312"/>
          <w:sz w:val="32"/>
          <w:szCs w:val="32"/>
        </w:rPr>
        <w:t>参保人员由亲情照护人员提供基本生活护理服务的，在享受亲情照护服务期间，应按长护险经办机构要求定期进行服务打卡和护理服务记录上传。长护险经办机构应通过卫星定位、人脸识别、视频稽核、线下走访等方式加强对亲情照护服务的巡查检查，确保亲情照护服务过程真实。</w:t>
      </w:r>
      <w:r>
        <w:rPr>
          <w:rFonts w:hint="eastAsia" w:ascii="Times New Roman" w:hAnsi="Times New Roman" w:eastAsia="仿宋_GB2312"/>
          <w:sz w:val="32"/>
          <w:szCs w:val="32"/>
          <w:lang w:val="en-US" w:eastAsia="zh-Hans"/>
        </w:rPr>
        <w:t>各区医保局要落实属地责任</w:t>
      </w:r>
      <w:r>
        <w:rPr>
          <w:rFonts w:hint="default" w:ascii="Times New Roman" w:hAnsi="Times New Roman" w:eastAsia="仿宋_GB2312"/>
          <w:sz w:val="32"/>
          <w:szCs w:val="32"/>
          <w:lang w:eastAsia="zh-Hans"/>
        </w:rPr>
        <w:t>，</w:t>
      </w:r>
      <w:r>
        <w:rPr>
          <w:rFonts w:hint="eastAsia" w:ascii="Times New Roman" w:hAnsi="Times New Roman" w:eastAsia="仿宋_GB2312"/>
          <w:sz w:val="32"/>
          <w:szCs w:val="32"/>
          <w:lang w:val="en-US" w:eastAsia="zh-Hans"/>
        </w:rPr>
        <w:t>主动做好辖区亲情照护服务的统筹管理</w:t>
      </w:r>
      <w:r>
        <w:rPr>
          <w:rFonts w:hint="default" w:ascii="Times New Roman" w:hAnsi="Times New Roman" w:eastAsia="仿宋_GB2312"/>
          <w:sz w:val="32"/>
          <w:szCs w:val="32"/>
          <w:lang w:eastAsia="zh-Hans"/>
        </w:rPr>
        <w:t>，</w:t>
      </w:r>
      <w:r>
        <w:rPr>
          <w:rFonts w:hint="eastAsia" w:ascii="Times New Roman" w:hAnsi="Times New Roman" w:eastAsia="仿宋_GB2312"/>
          <w:sz w:val="32"/>
          <w:szCs w:val="32"/>
          <w:lang w:val="en-US" w:eastAsia="zh-Hans"/>
        </w:rPr>
        <w:t>并指导监督经办机构切实加强和规范经办管理服务</w:t>
      </w:r>
      <w:r>
        <w:rPr>
          <w:rFonts w:hint="default" w:ascii="Times New Roman" w:hAnsi="Times New Roman" w:eastAsia="仿宋_GB2312"/>
          <w:sz w:val="32"/>
          <w:szCs w:val="32"/>
          <w:lang w:eastAsia="zh-Hans"/>
        </w:rPr>
        <w:t>。</w:t>
      </w:r>
    </w:p>
    <w:p>
      <w:pPr>
        <w:pStyle w:val="2"/>
        <w:pageBreakBefore w:val="0"/>
        <w:widowControl w:val="0"/>
        <w:numPr>
          <w:ilvl w:val="0"/>
          <w:numId w:val="0"/>
        </w:numPr>
        <w:kinsoku/>
        <w:wordWrap/>
        <w:overflowPunct/>
        <w:topLinePunct w:val="0"/>
        <w:autoSpaceDE/>
        <w:autoSpaceDN/>
        <w:bidi w:val="0"/>
        <w:adjustRightInd/>
        <w:snapToGrid/>
        <w:spacing w:before="0" w:after="0" w:line="590" w:lineRule="exact"/>
        <w:ind w:leftChars="0"/>
        <w:textAlignment w:val="auto"/>
        <w:rPr>
          <w:rFonts w:hint="default" w:ascii="Times New Roman" w:hAnsi="Times New Roman" w:eastAsia="黑体" w:cs="黑体"/>
          <w:b w:val="0"/>
          <w:bCs w:val="0"/>
          <w:kern w:val="2"/>
          <w:sz w:val="32"/>
          <w:szCs w:val="32"/>
          <w:lang w:eastAsia="zh-CN" w:bidi="ar-SA"/>
        </w:rPr>
      </w:pPr>
      <w:r>
        <w:rPr>
          <w:rFonts w:hint="default" w:ascii="Times New Roman" w:hAnsi="Times New Roman" w:eastAsia="黑体" w:cs="黑体"/>
          <w:b w:val="0"/>
          <w:bCs w:val="0"/>
          <w:kern w:val="2"/>
          <w:sz w:val="32"/>
          <w:szCs w:val="32"/>
          <w:lang w:eastAsia="zh-CN" w:bidi="ar-SA"/>
        </w:rPr>
        <w:t xml:space="preserve">    六、做好亲情照护服务过渡管理工作</w:t>
      </w:r>
    </w:p>
    <w:p>
      <w:pPr>
        <w:pageBreakBefore w:val="0"/>
        <w:widowControl w:val="0"/>
        <w:numPr>
          <w:ilvl w:val="0"/>
          <w:numId w:val="0"/>
        </w:numPr>
        <w:kinsoku/>
        <w:wordWrap/>
        <w:overflowPunct/>
        <w:topLinePunct w:val="0"/>
        <w:autoSpaceDE/>
        <w:autoSpaceDN/>
        <w:bidi w:val="0"/>
        <w:adjustRightInd/>
        <w:snapToGrid/>
        <w:spacing w:line="590" w:lineRule="exact"/>
        <w:ind w:left="0"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对于不符合专业</w:t>
      </w:r>
      <w:r>
        <w:rPr>
          <w:rFonts w:hint="eastAsia" w:ascii="Times New Roman" w:hAnsi="Times New Roman" w:eastAsia="仿宋_GB2312" w:cs="Times New Roman"/>
          <w:sz w:val="32"/>
          <w:szCs w:val="32"/>
          <w:lang w:val="en-US" w:eastAsia="zh-Hans"/>
        </w:rPr>
        <w:t>照护</w:t>
      </w:r>
      <w:r>
        <w:rPr>
          <w:rFonts w:hint="default" w:ascii="Times New Roman" w:hAnsi="Times New Roman" w:eastAsia="仿宋_GB2312" w:cs="Times New Roman"/>
          <w:sz w:val="32"/>
          <w:szCs w:val="32"/>
          <w:lang w:eastAsia="zh-CN"/>
        </w:rPr>
        <w:t>人员要求但在本通知实施前已连续提供3个月（含）以上居家护理服务的长护险居家护理服务人员，临时性纳入亲情照护人员管理。上述人员在</w:t>
      </w:r>
      <w:r>
        <w:rPr>
          <w:rFonts w:hint="eastAsia" w:ascii="Times New Roman" w:hAnsi="Times New Roman" w:eastAsia="仿宋_GB2312" w:cs="仿宋_GB2312"/>
          <w:sz w:val="32"/>
          <w:szCs w:val="32"/>
        </w:rPr>
        <w:t>定点护理机构专业照护人员</w:t>
      </w:r>
      <w:r>
        <w:rPr>
          <w:rFonts w:hint="default" w:ascii="Times New Roman" w:hAnsi="Times New Roman" w:eastAsia="仿宋_GB2312" w:cs="仿宋_GB2312"/>
          <w:sz w:val="32"/>
          <w:szCs w:val="32"/>
        </w:rPr>
        <w:t>为参保人员</w:t>
      </w:r>
      <w:r>
        <w:rPr>
          <w:rFonts w:hint="eastAsia" w:ascii="Times New Roman" w:hAnsi="Times New Roman" w:eastAsia="仿宋_GB2312" w:cs="Times New Roman"/>
          <w:sz w:val="32"/>
          <w:szCs w:val="32"/>
          <w:lang w:val="en-US" w:eastAsia="zh-Hans"/>
        </w:rPr>
        <w:t>按照</w:t>
      </w:r>
      <w:r>
        <w:rPr>
          <w:rFonts w:hint="default" w:ascii="Times New Roman" w:hAnsi="Times New Roman" w:eastAsia="仿宋_GB2312" w:cs="Times New Roman"/>
          <w:sz w:val="32"/>
          <w:szCs w:val="32"/>
          <w:lang w:eastAsia="zh-CN"/>
        </w:rPr>
        <w:t>《居家护理定点护理机构专护包》</w:t>
      </w:r>
      <w:r>
        <w:rPr>
          <w:rFonts w:hint="eastAsia" w:ascii="Times New Roman" w:hAnsi="Times New Roman" w:eastAsia="仿宋_GB2312" w:cs="Times New Roman"/>
          <w:sz w:val="32"/>
          <w:szCs w:val="32"/>
          <w:lang w:eastAsia="zh-CN"/>
        </w:rPr>
        <w:t>提供专业护理服务</w:t>
      </w:r>
      <w:r>
        <w:rPr>
          <w:rFonts w:hint="default" w:ascii="Times New Roman" w:hAnsi="Times New Roman" w:eastAsia="仿宋_GB2312" w:cs="Times New Roman"/>
          <w:sz w:val="32"/>
          <w:szCs w:val="32"/>
          <w:lang w:eastAsia="zh-CN"/>
        </w:rPr>
        <w:t>期间，接受不少于2个月的实践培训后，正式纳入亲情照护人员管理</w:t>
      </w:r>
      <w:r>
        <w:rPr>
          <w:rFonts w:hint="default" w:eastAsia="仿宋_GB2312" w:cs="Times New Roman"/>
          <w:sz w:val="32"/>
          <w:szCs w:val="32"/>
          <w:lang w:eastAsia="zh-CN"/>
        </w:rPr>
        <w:t>，以后应按本通知要求参加实践培训。</w:t>
      </w:r>
    </w:p>
    <w:p>
      <w:pPr>
        <w:pageBreakBefore w:val="0"/>
        <w:widowControl w:val="0"/>
        <w:kinsoku/>
        <w:wordWrap/>
        <w:overflowPunct/>
        <w:topLinePunct w:val="0"/>
        <w:autoSpaceDE/>
        <w:autoSpaceDN/>
        <w:bidi w:val="0"/>
        <w:adjustRightInd/>
        <w:snapToGrid/>
        <w:spacing w:line="590" w:lineRule="exact"/>
        <w:ind w:firstLine="640"/>
        <w:textAlignment w:val="auto"/>
        <w:rPr>
          <w:rFonts w:hint="eastAsia" w:ascii="Times New Roman" w:hAnsi="Times New Roman" w:eastAsia="仿宋_GB2312"/>
          <w:sz w:val="32"/>
          <w:szCs w:val="32"/>
        </w:rPr>
      </w:pPr>
      <w:r>
        <w:rPr>
          <w:rFonts w:ascii="Times New Roman" w:hAnsi="Times New Roman" w:eastAsia="仿宋_GB2312"/>
          <w:sz w:val="32"/>
          <w:szCs w:val="32"/>
        </w:rPr>
        <w:t>本通知自2023年</w:t>
      </w:r>
      <w:r>
        <w:rPr>
          <w:rFonts w:hint="default" w:ascii="Times New Roman" w:hAnsi="Times New Roman" w:eastAsia="仿宋_GB2312"/>
          <w:sz w:val="32"/>
          <w:szCs w:val="32"/>
        </w:rPr>
        <w:t>7</w:t>
      </w:r>
      <w:r>
        <w:rPr>
          <w:rFonts w:ascii="Times New Roman" w:hAnsi="Times New Roman" w:eastAsia="仿宋_GB2312"/>
          <w:sz w:val="32"/>
          <w:szCs w:val="32"/>
        </w:rPr>
        <w:t>月1日起执行，</w:t>
      </w:r>
      <w:r>
        <w:rPr>
          <w:rFonts w:hint="eastAsia" w:ascii="Times New Roman" w:hAnsi="Times New Roman" w:eastAsia="仿宋_GB2312"/>
          <w:sz w:val="32"/>
          <w:szCs w:val="32"/>
        </w:rPr>
        <w:t>2027年12月14日废止。</w:t>
      </w:r>
    </w:p>
    <w:p>
      <w:pPr>
        <w:pStyle w:val="2"/>
        <w:pageBreakBefore w:val="0"/>
        <w:widowControl w:val="0"/>
        <w:kinsoku/>
        <w:wordWrap/>
        <w:overflowPunct/>
        <w:topLinePunct w:val="0"/>
        <w:autoSpaceDE/>
        <w:autoSpaceDN/>
        <w:bidi w:val="0"/>
        <w:adjustRightInd/>
        <w:snapToGrid/>
        <w:spacing w:before="0" w:after="0" w:line="590" w:lineRule="exact"/>
        <w:ind w:firstLine="640"/>
        <w:textAlignment w:val="auto"/>
        <w:rPr>
          <w:rFonts w:hint="eastAsia" w:ascii="Times New Roman" w:hAnsi="Times New Roman" w:eastAsia="仿宋_GB2312" w:cs="仿宋_GB2312"/>
          <w:b w:val="0"/>
          <w:bCs w:val="0"/>
          <w:kern w:val="2"/>
          <w:sz w:val="32"/>
          <w:szCs w:val="32"/>
          <w:lang w:val="en-US" w:eastAsia="zh-CN" w:bidi="ar-SA"/>
        </w:rPr>
      </w:pPr>
    </w:p>
    <w:p>
      <w:pPr>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仿宋_GB2312"/>
          <w:b w:val="0"/>
          <w:bCs w:val="0"/>
          <w:kern w:val="2"/>
          <w:sz w:val="32"/>
          <w:szCs w:val="32"/>
          <w:lang w:eastAsia="zh-CN" w:bidi="ar-SA"/>
        </w:rPr>
      </w:pPr>
      <w:r>
        <w:rPr>
          <w:rFonts w:hint="default" w:ascii="Times New Roman" w:hAnsi="Times New Roman" w:eastAsia="仿宋_GB2312" w:cs="仿宋_GB2312"/>
          <w:b w:val="0"/>
          <w:bCs w:val="0"/>
          <w:kern w:val="2"/>
          <w:sz w:val="32"/>
          <w:szCs w:val="32"/>
          <w:lang w:eastAsia="zh-CN" w:bidi="ar-SA"/>
        </w:rPr>
        <w:t xml:space="preserve">                                </w:t>
      </w:r>
    </w:p>
    <w:p>
      <w:pPr>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仿宋_GB2312"/>
          <w:b w:val="0"/>
          <w:bCs w:val="0"/>
          <w:kern w:val="2"/>
          <w:sz w:val="32"/>
          <w:szCs w:val="32"/>
          <w:lang w:eastAsia="zh-CN" w:bidi="ar-SA"/>
        </w:rPr>
      </w:pPr>
      <w:r>
        <w:rPr>
          <w:rFonts w:hint="default" w:ascii="Times New Roman" w:hAnsi="Times New Roman" w:eastAsia="仿宋_GB2312" w:cs="仿宋_GB2312"/>
          <w:b w:val="0"/>
          <w:bCs w:val="0"/>
          <w:kern w:val="2"/>
          <w:sz w:val="32"/>
          <w:szCs w:val="32"/>
          <w:lang w:eastAsia="zh-CN" w:bidi="ar-SA"/>
        </w:rPr>
        <w:t xml:space="preserve">                                    市医保局</w:t>
      </w:r>
    </w:p>
    <w:p>
      <w:pPr>
        <w:pStyle w:val="2"/>
        <w:pageBreakBefore w:val="0"/>
        <w:widowControl w:val="0"/>
        <w:kinsoku/>
        <w:wordWrap w:val="0"/>
        <w:overflowPunct/>
        <w:topLinePunct w:val="0"/>
        <w:autoSpaceDE/>
        <w:autoSpaceDN/>
        <w:bidi w:val="0"/>
        <w:adjustRightInd/>
        <w:snapToGrid/>
        <w:spacing w:before="0" w:after="0" w:line="590" w:lineRule="exact"/>
        <w:jc w:val="right"/>
        <w:textAlignment w:val="auto"/>
        <w:rPr>
          <w:rFonts w:hint="default" w:ascii="Times New Roman" w:hAnsi="Times New Roman" w:eastAsia="仿宋_GB2312" w:cs="仿宋_GB2312"/>
          <w:b w:val="0"/>
          <w:bCs w:val="0"/>
          <w:kern w:val="2"/>
          <w:sz w:val="32"/>
          <w:szCs w:val="32"/>
          <w:lang w:val="en-US" w:eastAsia="zh-CN" w:bidi="ar-SA"/>
        </w:rPr>
      </w:pPr>
      <w:r>
        <w:rPr>
          <w:rFonts w:hint="default" w:ascii="Times New Roman" w:hAnsi="Times New Roman" w:eastAsia="仿宋_GB2312" w:cs="仿宋_GB2312"/>
          <w:b w:val="0"/>
          <w:bCs w:val="0"/>
          <w:kern w:val="2"/>
          <w:sz w:val="32"/>
          <w:szCs w:val="32"/>
          <w:lang w:eastAsia="zh-CN" w:bidi="ar-SA"/>
        </w:rPr>
        <w:t xml:space="preserve">                                 2023年4月</w:t>
      </w:r>
      <w:r>
        <w:rPr>
          <w:rFonts w:hint="eastAsia" w:ascii="Times New Roman" w:hAnsi="Times New Roman" w:eastAsia="仿宋_GB2312" w:cs="仿宋_GB2312"/>
          <w:b w:val="0"/>
          <w:bCs w:val="0"/>
          <w:kern w:val="2"/>
          <w:sz w:val="32"/>
          <w:szCs w:val="32"/>
          <w:lang w:val="en-US" w:eastAsia="zh-CN" w:bidi="ar-SA"/>
        </w:rPr>
        <w:t>21</w:t>
      </w:r>
      <w:r>
        <w:rPr>
          <w:rFonts w:hint="default" w:ascii="Times New Roman" w:hAnsi="Times New Roman" w:eastAsia="仿宋_GB2312" w:cs="仿宋_GB2312"/>
          <w:b w:val="0"/>
          <w:bCs w:val="0"/>
          <w:kern w:val="2"/>
          <w:sz w:val="32"/>
          <w:szCs w:val="32"/>
          <w:lang w:eastAsia="zh-CN" w:bidi="ar-SA"/>
        </w:rPr>
        <w:t>日</w:t>
      </w:r>
      <w:r>
        <w:rPr>
          <w:rFonts w:hint="eastAsia" w:ascii="Times New Roman" w:hAnsi="Times New Roman" w:eastAsia="仿宋_GB2312" w:cs="仿宋_GB2312"/>
          <w:b w:val="0"/>
          <w:bCs w:val="0"/>
          <w:kern w:val="2"/>
          <w:sz w:val="32"/>
          <w:szCs w:val="32"/>
          <w:lang w:val="en-US" w:eastAsia="zh-CN" w:bidi="ar-SA"/>
        </w:rPr>
        <w:t xml:space="preserve">       </w:t>
      </w:r>
    </w:p>
    <w:p>
      <w:pPr>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lang w:eastAsia="zh-CN"/>
        </w:rPr>
      </w:pPr>
      <w:r>
        <w:rPr>
          <w:rFonts w:hint="default" w:ascii="Times New Roman" w:hAnsi="Times New Roman" w:eastAsia="仿宋_GB2312" w:cs="仿宋_GB2312"/>
          <w:b w:val="0"/>
          <w:bCs w:val="0"/>
          <w:kern w:val="2"/>
          <w:sz w:val="32"/>
          <w:szCs w:val="32"/>
          <w:lang w:eastAsia="zh-CN" w:bidi="ar-SA"/>
        </w:rPr>
        <w:t>（此件主动公开）</w:t>
      </w:r>
    </w:p>
    <w:p>
      <w:pPr>
        <w:rPr>
          <w:rFonts w:hint="eastAsia" w:ascii="Times New Roman" w:hAnsi="Times New Roman" w:eastAsia="仿宋_GB2312" w:cs="Times New Roman"/>
          <w:b w:val="0"/>
          <w:bCs w:val="0"/>
          <w:kern w:val="2"/>
          <w:sz w:val="32"/>
          <w:szCs w:val="32"/>
          <w:lang w:val="en-US" w:eastAsia="zh-CN" w:bidi="ar-SA"/>
        </w:rPr>
      </w:pPr>
    </w:p>
    <w:p>
      <w:pPr>
        <w:rPr>
          <w:rFonts w:hint="default" w:ascii="Times New Roman" w:hAnsi="Times New Roman" w:eastAsia="仿宋_GB2312" w:cs="Times New Roman"/>
          <w:b w:val="0"/>
          <w:bCs w:val="0"/>
          <w:kern w:val="2"/>
          <w:sz w:val="32"/>
          <w:szCs w:val="32"/>
          <w:lang w:val="en-US" w:eastAsia="zh-CN" w:bidi="ar-SA"/>
        </w:rPr>
      </w:pPr>
    </w:p>
    <w:p>
      <w:pPr>
        <w:rPr>
          <w:rFonts w:ascii="Times New Roman" w:hAnsi="Times New Roman" w:eastAsia="仿宋_GB2312"/>
          <w:sz w:val="32"/>
        </w:rPr>
      </w:pPr>
    </w:p>
    <w:p>
      <w:pPr>
        <w:rPr>
          <w:rFonts w:ascii="Times New Roman" w:hAnsi="Times New Roman" w:eastAsia="仿宋_GB2312"/>
          <w:sz w:val="32"/>
        </w:rPr>
      </w:pPr>
    </w:p>
    <w:p>
      <w:pPr>
        <w:rPr>
          <w:rFonts w:ascii="Times New Roman" w:hAnsi="Times New Roman" w:eastAsia="仿宋_GB2312"/>
          <w:sz w:val="32"/>
        </w:rPr>
      </w:pPr>
    </w:p>
    <w:p>
      <w:pPr>
        <w:rPr>
          <w:rFonts w:ascii="Times New Roman" w:hAnsi="Times New Roman" w:eastAsia="仿宋_GB2312"/>
          <w:sz w:val="32"/>
        </w:rPr>
      </w:pPr>
    </w:p>
    <w:p>
      <w:pPr>
        <w:rPr>
          <w:rFonts w:ascii="Times New Roman" w:hAnsi="Times New Roman" w:eastAsia="仿宋_GB2312"/>
          <w:sz w:val="32"/>
        </w:rPr>
      </w:pPr>
    </w:p>
    <w:p>
      <w:pPr>
        <w:bidi w:val="0"/>
      </w:pPr>
    </w:p>
    <w:p>
      <w:pPr>
        <w:bidi w:val="0"/>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Times New Roman" w:hAnsi="Times New Roman"/>
          <w:lang w:val="en-US" w:eastAsia="zh-CN"/>
        </w:rPr>
      </w:pPr>
    </w:p>
    <w:p>
      <w:pPr>
        <w:keepNext w:val="0"/>
        <w:keepLines w:val="0"/>
        <w:pageBreakBefore w:val="0"/>
        <w:widowControl/>
        <w:kinsoku/>
        <w:wordWrap/>
        <w:overflowPunct/>
        <w:topLinePunct w:val="0"/>
        <w:autoSpaceDE/>
        <w:autoSpaceDN/>
        <w:bidi w:val="0"/>
        <w:adjustRightInd/>
        <w:snapToGrid/>
        <w:spacing w:line="578" w:lineRule="exact"/>
        <w:jc w:val="left"/>
        <w:textAlignment w:val="auto"/>
        <w:rPr>
          <w:rFonts w:ascii="Times New Roman" w:hAnsi="Times New Roman" w:eastAsia="宋体" w:cs="Times New Roman"/>
          <w:kern w:val="2"/>
          <w:sz w:val="21"/>
          <w:lang w:val="en-US" w:eastAsia="zh-CN" w:bidi="ar-SA"/>
        </w:rPr>
      </w:pPr>
    </w:p>
    <w:p>
      <w:pPr>
        <w:keepNext w:val="0"/>
        <w:keepLines w:val="0"/>
        <w:pageBreakBefore w:val="0"/>
        <w:widowControl w:val="0"/>
        <w:kinsoku/>
        <w:wordWrap/>
        <w:overflowPunct/>
        <w:topLinePunct w:val="0"/>
        <w:autoSpaceDE/>
        <w:autoSpaceDN/>
        <w:bidi w:val="0"/>
        <w:adjustRightInd/>
        <w:snapToGrid/>
        <w:spacing w:line="578" w:lineRule="exact"/>
        <w:ind w:left="210" w:leftChars="100" w:right="210" w:rightChars="100"/>
        <w:textAlignment w:val="auto"/>
        <w:rPr>
          <w:rFonts w:ascii="Times New Roman" w:hAnsi="Times New Roman"/>
        </w:rPr>
      </w:pPr>
      <w:r>
        <w:rPr>
          <w:rFonts w:ascii="Times New Roman" w:hAnsi="Times New Roman" w:eastAsia="仿宋_GB2312"/>
          <w:sz w:val="28"/>
          <w:szCs w:val="28"/>
        </w:rPr>
        <w:pict>
          <v:line id="直线 16" o:spid="_x0000_s1042" o:spt="20" style="position:absolute;left:0pt;margin-left:-0.05pt;margin-top:0pt;height:0pt;width:441.05pt;z-index:251661312;mso-width-relative:page;mso-height-relative:page;" filled="f" stroked="t" coordsize="21600,21600" o:gfxdata="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1CVLP9EAAAADAQAA&#10;DwAAAAAAAAABACAAAAA4AAAAZHJzL2Rvd25yZXYueG1sUEsBAhQAFAAAAAgAh07iQJAW5tXRAQAA&#10;kgMAAA4AAAAAAAAAAQAgAAAANgEAAGRycy9lMm9Eb2MueG1sUEsFBgAAAAAGAAYAWQEAAHkFAAAA&#10;AA==&#10;">
            <v:path arrowok="t"/>
            <v:fill on="f" focussize="0,0"/>
            <v:stroke weight="1.5pt" color="#000000" joinstyle="round"/>
            <v:imagedata o:title=""/>
            <o:lock v:ext="edit" aspectratio="f"/>
          </v:line>
        </w:pict>
      </w:r>
      <w:r>
        <w:rPr>
          <w:rFonts w:ascii="Times New Roman" w:hAnsi="Times New Roman" w:eastAsia="仿宋_GB2312"/>
          <w:sz w:val="32"/>
        </w:rPr>
        <w:pict>
          <v:line id="直线 15" o:spid="_x0000_s1043" o:spt="20" style="position:absolute;left:0pt;margin-left:0pt;margin-top:30.5pt;height:0pt;width:441.05pt;z-index:251661312;mso-width-relative:page;mso-height-relative:page;" filled="f" stroked="t" coordsize="21600,21600" o:gfxdata="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7yc/10wAAAAYB&#10;AAAPAAAAAAAAAAEAIAAAADgAAABkcnMvZG93bnJldi54bWxQSwECFAAUAAAACACHTuJAic3IKtEB&#10;AACSAwAADgAAAAAAAAABACAAAAA4AQAAZHJzL2Uyb0RvYy54bWxQSwUGAAAAAAYABgBZAQAAewUA&#10;AAAA&#10;">
            <v:path arrowok="t"/>
            <v:fill on="f" focussize="0,0"/>
            <v:stroke weight="1.5pt" color="#000000" joinstyle="round"/>
            <v:imagedata o:title=""/>
            <o:lock v:ext="edit" aspectratio="f"/>
          </v:line>
        </w:pict>
      </w:r>
      <w:r>
        <w:rPr>
          <w:rFonts w:ascii="Times New Roman" w:hAnsi="Times New Roman" w:eastAsia="仿宋_GB2312"/>
          <w:sz w:val="28"/>
          <w:szCs w:val="28"/>
        </w:rPr>
        <w:pict>
          <v:line id="直线 14" o:spid="_x0000_s1044" o:spt="20" style="position:absolute;left:0pt;margin-left:0pt;margin-top:0pt;height:0pt;width:441.05pt;z-index:251660288;mso-width-relative:page;mso-height-relative:page;" filled="f" stroked="t" coordsize="21600,21600" o:allowincell="f" o:gfxdata="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Nx3JQfRAAAAAgEAAA8A&#10;AAAAAAAAAQAgAAAAOAAAAGRycy9kb3ducmV2LnhtbFBLAQIUABQAAAAIAIdO4kCiEA0JzwEAAJED&#10;AAAOAAAAAAAAAAEAIAAAADYBAABkcnMvZTJvRG9jLnhtbFBLBQYAAAAABgAGAFkBAAB3BQAAAAA=&#10;">
            <v:path arrowok="t"/>
            <v:fill on="f" focussize="0,0"/>
            <v:stroke color="#000000" joinstyle="round"/>
            <v:imagedata o:title=""/>
            <o:lock v:ext="edit" aspectratio="f"/>
          </v:line>
        </w:pict>
      </w:r>
      <w:r>
        <w:rPr>
          <w:rFonts w:hint="eastAsia" w:ascii="Times New Roman" w:hAnsi="Times New Roman" w:eastAsia="仿宋_GB2312"/>
          <w:sz w:val="28"/>
          <w:szCs w:val="28"/>
        </w:rPr>
        <w:t xml:space="preserve">天津市医疗保障局办公室   </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 xml:space="preserve">     </w:t>
      </w:r>
      <w:r>
        <w:rPr>
          <w:rFonts w:ascii="Times New Roman" w:hAnsi="Times New Roman" w:eastAsia="仿宋_GB2312"/>
          <w:sz w:val="28"/>
          <w:szCs w:val="28"/>
        </w:rPr>
        <w:t>20</w:t>
      </w:r>
      <w:r>
        <w:rPr>
          <w:rFonts w:hint="eastAsia" w:ascii="Times New Roman" w:hAnsi="Times New Roman" w:eastAsia="仿宋_GB2312"/>
          <w:sz w:val="28"/>
          <w:szCs w:val="28"/>
          <w:lang w:val="en-US" w:eastAsia="zh-CN"/>
        </w:rPr>
        <w:t>23</w:t>
      </w:r>
      <w:r>
        <w:rPr>
          <w:rFonts w:hint="eastAsia" w:ascii="Times New Roman" w:hAnsi="Times New Roman" w:eastAsia="仿宋_GB2312"/>
          <w:sz w:val="28"/>
          <w:szCs w:val="28"/>
        </w:rPr>
        <w:t>年</w:t>
      </w:r>
      <w:r>
        <w:rPr>
          <w:rFonts w:hint="eastAsia" w:ascii="Times New Roman" w:hAnsi="Times New Roman" w:eastAsia="仿宋_GB2312"/>
          <w:sz w:val="28"/>
          <w:szCs w:val="28"/>
          <w:lang w:val="en-US" w:eastAsia="zh-CN"/>
        </w:rPr>
        <w:t>4</w:t>
      </w:r>
      <w:r>
        <w:rPr>
          <w:rFonts w:hint="eastAsia" w:ascii="Times New Roman" w:hAnsi="Times New Roman" w:eastAsia="仿宋_GB2312"/>
          <w:sz w:val="28"/>
          <w:szCs w:val="28"/>
        </w:rPr>
        <w:t>月</w:t>
      </w:r>
      <w:r>
        <w:rPr>
          <w:rFonts w:hint="eastAsia" w:ascii="Times New Roman" w:hAnsi="Times New Roman" w:eastAsia="仿宋_GB2312"/>
          <w:sz w:val="28"/>
          <w:szCs w:val="28"/>
          <w:lang w:val="en-US" w:eastAsia="zh-CN"/>
        </w:rPr>
        <w:t>21</w:t>
      </w:r>
      <w:r>
        <w:rPr>
          <w:rFonts w:hint="eastAsia" w:ascii="Times New Roman" w:hAnsi="Times New Roman" w:eastAsia="仿宋_GB2312"/>
          <w:sz w:val="28"/>
          <w:szCs w:val="28"/>
        </w:rPr>
        <w:t>日印发</w:t>
      </w:r>
    </w:p>
    <w:sectPr>
      <w:footerReference r:id="rId5" w:type="default"/>
      <w:pgSz w:w="11906" w:h="16838"/>
      <w:pgMar w:top="2098" w:right="1474" w:bottom="1984" w:left="1587"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3"/>
        <w:rFonts w:ascii="宋体" w:hAnsi="宋体"/>
        <w:sz w:val="28"/>
        <w:szCs w:val="28"/>
      </w:rPr>
    </w:pPr>
    <w:r>
      <w:rPr>
        <w:rStyle w:val="13"/>
        <w:rFonts w:hint="eastAsia" w:ascii="宋体" w:hAnsi="宋体"/>
        <w:sz w:val="28"/>
        <w:szCs w:val="28"/>
      </w:rPr>
      <w:t>―</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w:t>
    </w:r>
    <w:r>
      <w:rPr>
        <w:rStyle w:val="13"/>
        <w:rFonts w:ascii="宋体" w:hAnsi="宋体"/>
        <w:sz w:val="28"/>
        <w:szCs w:val="28"/>
      </w:rPr>
      <w:fldChar w:fldCharType="end"/>
    </w:r>
    <w:r>
      <w:rPr>
        <w:rStyle w:val="13"/>
        <w:rFonts w:hint="eastAsia" w:ascii="宋体" w:hAnsi="宋体"/>
        <w:sz w:val="28"/>
        <w:szCs w:val="28"/>
      </w:rPr>
      <w:t>―</w:t>
    </w:r>
  </w:p>
  <w:p>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3F0BDC"/>
    <w:rsid w:val="000A44BF"/>
    <w:rsid w:val="00120125"/>
    <w:rsid w:val="00162B87"/>
    <w:rsid w:val="00211918"/>
    <w:rsid w:val="00233E93"/>
    <w:rsid w:val="002E1670"/>
    <w:rsid w:val="002E3A88"/>
    <w:rsid w:val="002F4A77"/>
    <w:rsid w:val="00322A1A"/>
    <w:rsid w:val="003607D0"/>
    <w:rsid w:val="003A511C"/>
    <w:rsid w:val="003F0BDC"/>
    <w:rsid w:val="004E7AF1"/>
    <w:rsid w:val="00542C72"/>
    <w:rsid w:val="00561774"/>
    <w:rsid w:val="0059190B"/>
    <w:rsid w:val="005F3A91"/>
    <w:rsid w:val="00637666"/>
    <w:rsid w:val="00653E0B"/>
    <w:rsid w:val="00833FB4"/>
    <w:rsid w:val="00864DF6"/>
    <w:rsid w:val="00896547"/>
    <w:rsid w:val="008E1795"/>
    <w:rsid w:val="00957982"/>
    <w:rsid w:val="009A720A"/>
    <w:rsid w:val="009D3C84"/>
    <w:rsid w:val="00A76EA1"/>
    <w:rsid w:val="00AC36C9"/>
    <w:rsid w:val="00B7313E"/>
    <w:rsid w:val="00BB3999"/>
    <w:rsid w:val="00BB700D"/>
    <w:rsid w:val="00BD78A2"/>
    <w:rsid w:val="00BE0092"/>
    <w:rsid w:val="00C263D7"/>
    <w:rsid w:val="00C67CC4"/>
    <w:rsid w:val="00CC0423"/>
    <w:rsid w:val="00CC2B75"/>
    <w:rsid w:val="00D01805"/>
    <w:rsid w:val="00D51514"/>
    <w:rsid w:val="00D97787"/>
    <w:rsid w:val="00DB5A57"/>
    <w:rsid w:val="00DD0370"/>
    <w:rsid w:val="00E314AB"/>
    <w:rsid w:val="00E47CEC"/>
    <w:rsid w:val="00F21FFE"/>
    <w:rsid w:val="00F603A0"/>
    <w:rsid w:val="00F60D89"/>
    <w:rsid w:val="00F6388A"/>
    <w:rsid w:val="00FA15B8"/>
    <w:rsid w:val="00FC5D95"/>
    <w:rsid w:val="2BBF556A"/>
    <w:rsid w:val="2C662221"/>
    <w:rsid w:val="37CB8D12"/>
    <w:rsid w:val="3CDE7168"/>
    <w:rsid w:val="5FEFD69B"/>
    <w:rsid w:val="76C77EA2"/>
    <w:rsid w:val="77FFD0C4"/>
    <w:rsid w:val="7DDDFC22"/>
    <w:rsid w:val="7F1AE16E"/>
    <w:rsid w:val="7FEE620E"/>
    <w:rsid w:val="9DFEAE26"/>
    <w:rsid w:val="BEDD9FD6"/>
    <w:rsid w:val="DB763B79"/>
    <w:rsid w:val="DCBEE013"/>
    <w:rsid w:val="DD278C60"/>
    <w:rsid w:val="DFAC2A97"/>
    <w:rsid w:val="DFB39174"/>
    <w:rsid w:val="EFBDD8EB"/>
    <w:rsid w:val="F46D0603"/>
    <w:rsid w:val="FD57C510"/>
    <w:rsid w:val="FDFF2636"/>
    <w:rsid w:val="FF9FED6D"/>
    <w:rsid w:val="FFBF8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index 5"/>
    <w:basedOn w:val="1"/>
    <w:next w:val="1"/>
    <w:qFormat/>
    <w:uiPriority w:val="0"/>
    <w:pPr>
      <w:ind w:left="1680"/>
    </w:pPr>
  </w:style>
  <w:style w:type="paragraph" w:styleId="4">
    <w:name w:val="annotation text"/>
    <w:basedOn w:val="1"/>
    <w:qFormat/>
    <w:uiPriority w:val="0"/>
    <w:pPr>
      <w:spacing w:line="240" w:lineRule="auto"/>
      <w:ind w:firstLine="0"/>
      <w:jc w:val="left"/>
    </w:pPr>
    <w:rPr>
      <w:rFonts w:ascii="Times New Roman" w:hAnsi="Times New Roman"/>
      <w:kern w:val="0"/>
      <w:sz w:val="24"/>
      <w:szCs w:val="20"/>
    </w:rPr>
  </w:style>
  <w:style w:type="paragraph" w:styleId="5">
    <w:name w:val="Body Text"/>
    <w:basedOn w:val="1"/>
    <w:qFormat/>
    <w:uiPriority w:val="0"/>
    <w:pPr>
      <w:jc w:val="center"/>
    </w:pPr>
    <w:rPr>
      <w:sz w:val="44"/>
    </w:rPr>
  </w:style>
  <w:style w:type="paragraph" w:styleId="6">
    <w:name w:val="Body Text Indent"/>
    <w:basedOn w:val="1"/>
    <w:next w:val="4"/>
    <w:qFormat/>
    <w:uiPriority w:val="0"/>
    <w:pPr>
      <w:ind w:firstLine="360"/>
    </w:pPr>
  </w:style>
  <w:style w:type="paragraph" w:styleId="7">
    <w:name w:val="Date"/>
    <w:basedOn w:val="1"/>
    <w:next w:val="1"/>
    <w:qFormat/>
    <w:uiPriority w:val="0"/>
    <w:rPr>
      <w:rFonts w:ascii="仿宋_GB2312" w:eastAsia="仿宋_GB2312"/>
      <w:sz w:val="3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Hei Ti"/>
    <w:qFormat/>
    <w:uiPriority w:val="0"/>
    <w:rPr>
      <w:rFonts w:ascii="黑体" w:hAnsi="黑体" w:eastAsia="黑体" w:cs="黑体"/>
      <w:sz w:val="32"/>
    </w:rPr>
  </w:style>
  <w:style w:type="character" w:customStyle="1" w:styleId="15">
    <w:name w:val="Hei Ti Bold"/>
    <w:qFormat/>
    <w:uiPriority w:val="0"/>
    <w:rPr>
      <w:rFonts w:ascii="黑体" w:hAnsi="黑体" w:eastAsia="黑体" w:cs="黑体"/>
      <w:b/>
      <w:sz w:val="32"/>
    </w:rPr>
  </w:style>
  <w:style w:type="character" w:customStyle="1" w:styleId="16">
    <w:name w:val="Hei Ti Bold1"/>
    <w:qFormat/>
    <w:uiPriority w:val="0"/>
    <w:rPr>
      <w:rFonts w:ascii="黑体" w:hAnsi="黑体" w:eastAsia="黑体" w:cs="黑体"/>
      <w:b/>
      <w:sz w:val="36"/>
    </w:rPr>
  </w:style>
  <w:style w:type="character" w:customStyle="1" w:styleId="17">
    <w:name w:val="GB_2312"/>
    <w:qFormat/>
    <w:uiPriority w:val="0"/>
    <w:rPr>
      <w:rFonts w:ascii="仿宋_GB2312" w:hAnsi="仿宋_GB2312" w:eastAsia="仿宋_GB2312" w:cs="仿宋_GB2312"/>
      <w:sz w:val="32"/>
    </w:rPr>
  </w:style>
  <w:style w:type="character" w:customStyle="1" w:styleId="18">
    <w:name w:val="GB_23121"/>
    <w:qFormat/>
    <w:uiPriority w:val="0"/>
    <w:rPr>
      <w:rFonts w:ascii="仿宋_GB2312" w:hAnsi="仿宋_GB2312" w:eastAsia="仿宋_GB2312" w:cs="仿宋_GB2312"/>
      <w:sz w:val="36"/>
    </w:rPr>
  </w:style>
  <w:style w:type="character" w:customStyle="1" w:styleId="19">
    <w:name w:val="Red_Color"/>
    <w:qFormat/>
    <w:uiPriority w:val="0"/>
    <w:rPr>
      <w:rFonts w:ascii="方正小标宋简体" w:hAnsi="方正小标宋简体" w:eastAsia="方正小标宋简体" w:cs="方正小标宋简体"/>
      <w:color w:val="000000"/>
      <w:sz w:val="65"/>
    </w:rPr>
  </w:style>
  <w:style w:type="character" w:customStyle="1" w:styleId="20">
    <w:name w:val="KaiTi"/>
    <w:qFormat/>
    <w:uiPriority w:val="0"/>
    <w:rPr>
      <w:rFonts w:ascii="楷体_GB2312" w:hAnsi="楷体_GB2312" w:eastAsia="楷体_GB2312" w:cs="楷体_GB2312"/>
      <w:sz w:val="32"/>
    </w:rPr>
  </w:style>
  <w:style w:type="character" w:customStyle="1" w:styleId="21">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41"/>
    <customShpInfo spid="_x0000_s1042"/>
    <customShpInfo spid="_x0000_s1043"/>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1381</Words>
  <Characters>1404</Characters>
  <Lines>1</Lines>
  <Paragraphs>1</Paragraphs>
  <TotalTime>2</TotalTime>
  <ScaleCrop>false</ScaleCrop>
  <LinksUpToDate>false</LinksUpToDate>
  <CharactersWithSpaces>1551</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2021-03-29T03:26:00Z</dcterms:created>
  <dc:creator>linhong</dc:creator>
  <cp:lastModifiedBy>邓旭峰</cp:lastModifiedBy>
  <cp:lastPrinted>2005-02-19T07:04:00Z</cp:lastPrinted>
  <dcterms:modified xsi:type="dcterms:W3CDTF">2023-05-24T02:09:28Z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