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rPr>
          <w:sz w:val="44"/>
        </w:rPr>
      </w:pPr>
    </w:p>
    <w:p>
      <w:pPr>
        <w:adjustRightInd w:val="0"/>
        <w:snapToGrid w:val="0"/>
        <w:spacing w:line="520" w:lineRule="exact"/>
        <w:rPr>
          <w:sz w:val="44"/>
        </w:rPr>
      </w:pPr>
    </w:p>
    <w:p>
      <w:pPr>
        <w:adjustRightInd w:val="0"/>
        <w:snapToGrid w:val="0"/>
        <w:spacing w:line="520" w:lineRule="exact"/>
        <w:rPr>
          <w:sz w:val="44"/>
        </w:rPr>
      </w:pPr>
      <w:bookmarkStart w:id="0" w:name="缓急"/>
      <w:bookmarkEnd w:id="0"/>
      <w:r>
        <w:rPr>
          <w:sz w:val="44"/>
        </w:rPr>
        <w:t xml:space="preserve"> </w:t>
      </w:r>
    </w:p>
    <w:p>
      <w:pPr>
        <w:adjustRightInd w:val="0"/>
        <w:snapToGrid w:val="0"/>
        <w:spacing w:line="520" w:lineRule="exact"/>
        <w:rPr>
          <w:rFonts w:hint="eastAsia" w:ascii="黑体" w:eastAsia="黑体"/>
          <w:sz w:val="32"/>
          <w:szCs w:val="32"/>
        </w:rPr>
      </w:pPr>
    </w:p>
    <w:p>
      <w:pPr>
        <w:adjustRightInd w:val="0"/>
        <w:snapToGrid w:val="0"/>
        <w:spacing w:line="520" w:lineRule="exact"/>
        <w:rPr>
          <w:rFonts w:hint="eastAsia"/>
        </w:rPr>
      </w:pPr>
    </w:p>
    <w:p>
      <w:pPr>
        <w:tabs>
          <w:tab w:val="left" w:pos="5529"/>
        </w:tabs>
        <w:adjustRightInd w:val="0"/>
        <w:snapToGrid w:val="0"/>
        <w:spacing w:line="360" w:lineRule="auto"/>
        <w:ind w:left="-283" w:leftChars="-135" w:right="-454" w:rightChars="-216"/>
        <w:jc w:val="center"/>
        <w:rPr>
          <w:rFonts w:ascii="宋体" w:hAnsi="宋体"/>
          <w:b/>
          <w:color w:val="FF0000"/>
          <w:spacing w:val="-20"/>
          <w:w w:val="50"/>
          <w:szCs w:val="21"/>
        </w:rPr>
      </w:pPr>
      <w:r>
        <w:drawing>
          <wp:anchor distT="0" distB="0" distL="114300" distR="114300" simplePos="0" relativeHeight="251660288" behindDoc="1" locked="0" layoutInCell="1" allowOverlap="1">
            <wp:simplePos x="0" y="0"/>
            <wp:positionH relativeFrom="column">
              <wp:posOffset>57785</wp:posOffset>
            </wp:positionH>
            <wp:positionV relativeFrom="paragraph">
              <wp:posOffset>6985</wp:posOffset>
            </wp:positionV>
            <wp:extent cx="5833745" cy="2515870"/>
            <wp:effectExtent l="0" t="0" r="3175" b="13970"/>
            <wp:wrapNone/>
            <wp:docPr id="1" name="图片 2" descr="政府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政府文件"/>
                    <pic:cNvPicPr>
                      <a:picLocks noChangeAspect="1"/>
                    </pic:cNvPicPr>
                  </pic:nvPicPr>
                  <pic:blipFill>
                    <a:blip r:embed="rId6"/>
                    <a:stretch>
                      <a:fillRect/>
                    </a:stretch>
                  </pic:blipFill>
                  <pic:spPr>
                    <a:xfrm>
                      <a:off x="0" y="0"/>
                      <a:ext cx="5833745" cy="2515870"/>
                    </a:xfrm>
                    <a:prstGeom prst="rect">
                      <a:avLst/>
                    </a:prstGeom>
                    <a:noFill/>
                    <a:ln>
                      <a:noFill/>
                    </a:ln>
                  </pic:spPr>
                </pic:pic>
              </a:graphicData>
            </a:graphic>
          </wp:anchor>
        </w:drawing>
      </w:r>
    </w:p>
    <w:p>
      <w:pPr>
        <w:adjustRightInd w:val="0"/>
        <w:snapToGrid w:val="0"/>
        <w:spacing w:line="360" w:lineRule="auto"/>
        <w:jc w:val="center"/>
        <w:rPr>
          <w:rFonts w:hint="eastAsia" w:ascii="宋体" w:hAnsi="宋体"/>
          <w:b/>
          <w:color w:val="FF0000"/>
          <w:spacing w:val="-20"/>
          <w:w w:val="50"/>
          <w:sz w:val="32"/>
          <w:szCs w:val="32"/>
        </w:rPr>
      </w:pPr>
    </w:p>
    <w:p>
      <w:pPr>
        <w:adjustRightInd w:val="0"/>
        <w:snapToGrid w:val="0"/>
        <w:spacing w:line="480" w:lineRule="exact"/>
        <w:ind w:firstLine="160" w:firstLineChars="50"/>
        <w:rPr>
          <w:rFonts w:ascii="仿宋_GB2312" w:hAnsi="华文仿宋" w:eastAsia="仿宋_GB2312"/>
          <w:sz w:val="32"/>
        </w:rPr>
      </w:pPr>
    </w:p>
    <w:p>
      <w:pPr>
        <w:adjustRightInd w:val="0"/>
        <w:snapToGrid w:val="0"/>
        <w:spacing w:line="480" w:lineRule="exact"/>
        <w:ind w:firstLine="160" w:firstLineChars="50"/>
        <w:rPr>
          <w:rFonts w:ascii="仿宋_GB2312" w:hAnsi="华文仿宋" w:eastAsia="仿宋_GB2312"/>
          <w:sz w:val="32"/>
        </w:rPr>
      </w:pPr>
    </w:p>
    <w:p>
      <w:pPr>
        <w:adjustRightInd w:val="0"/>
        <w:snapToGrid w:val="0"/>
        <w:spacing w:line="480" w:lineRule="exact"/>
        <w:ind w:firstLine="160" w:firstLineChars="50"/>
        <w:rPr>
          <w:rFonts w:ascii="仿宋_GB2312" w:hAnsi="华文仿宋" w:eastAsia="仿宋_GB2312"/>
          <w:sz w:val="32"/>
        </w:rPr>
      </w:pPr>
    </w:p>
    <w:p>
      <w:pPr>
        <w:adjustRightInd w:val="0"/>
        <w:snapToGrid w:val="0"/>
        <w:spacing w:line="480" w:lineRule="exact"/>
        <w:ind w:firstLine="105" w:firstLineChars="50"/>
        <w:rPr>
          <w:rFonts w:hint="eastAsia" w:ascii="仿宋_GB2312" w:hAnsi="华文仿宋" w:eastAsia="仿宋_GB2312"/>
          <w:sz w:val="32"/>
        </w:rPr>
      </w:pPr>
      <w:bookmarkStart w:id="4" w:name="_GoBack"/>
      <w:r>
        <w:rPr>
          <w:rFonts w:hint="eastAsia"/>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203835</wp:posOffset>
                </wp:positionV>
                <wp:extent cx="2262505" cy="276225"/>
                <wp:effectExtent l="0" t="0" r="0" b="0"/>
                <wp:wrapNone/>
                <wp:docPr id="4" name="文本框 4"/>
                <wp:cNvGraphicFramePr/>
                <a:graphic xmlns:a="http://schemas.openxmlformats.org/drawingml/2006/main">
                  <a:graphicData uri="http://schemas.microsoft.com/office/word/2010/wordprocessingShape">
                    <wps:wsp>
                      <wps:cNvSpPr txBox="1"/>
                      <wps:spPr>
                        <a:xfrm>
                          <a:off x="0" y="0"/>
                          <a:ext cx="2262505" cy="276225"/>
                        </a:xfrm>
                        <a:prstGeom prst="rect">
                          <a:avLst/>
                        </a:prstGeom>
                        <a:solidFill>
                          <a:srgbClr val="FFFFFF">
                            <a:alpha val="0"/>
                          </a:srgbClr>
                        </a:solidFill>
                        <a:ln>
                          <a:noFill/>
                        </a:ln>
                      </wps:spPr>
                      <wps:txbx>
                        <w:txbxContent>
                          <w:p>
                            <w:pPr>
                              <w:jc w:val="center"/>
                              <w:rPr>
                                <w:rFonts w:hint="eastAsia" w:ascii="仿宋_GB2312" w:hAnsi="Times New Roman" w:eastAsia="仿宋_GB2312"/>
                                <w:color w:val="000000"/>
                                <w:sz w:val="32"/>
                                <w:szCs w:val="32"/>
                              </w:rPr>
                            </w:pPr>
                            <w:bookmarkStart w:id="3" w:name="文号"/>
                            <w:bookmarkEnd w:id="3"/>
                            <w:r>
                              <w:rPr>
                                <w:rFonts w:hint="eastAsia" w:ascii="仿宋_GB2312" w:hAnsi="Times New Roman" w:eastAsia="仿宋_GB2312"/>
                                <w:color w:val="000000"/>
                                <w:sz w:val="32"/>
                                <w:szCs w:val="32"/>
                              </w:rPr>
                              <w:t>赤政发〔2021〕179号</w:t>
                            </w:r>
                          </w:p>
                        </w:txbxContent>
                      </wps:txbx>
                      <wps:bodyPr upright="1"/>
                    </wps:wsp>
                  </a:graphicData>
                </a:graphic>
              </wp:anchor>
            </w:drawing>
          </mc:Choice>
          <mc:Fallback>
            <w:pict>
              <v:shape id="_x0000_s1026" o:spid="_x0000_s1026" o:spt="202" type="#_x0000_t202" style="position:absolute;left:0pt;margin-top:16.05pt;height:21.75pt;width:178.15pt;mso-position-horizontal:center;z-index:251659264;mso-width-relative:margin;mso-height-relative:margin;" fillcolor="#FFFFFF"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">
                <v:fill on="t" opacity="0f" focussize="0,0"/>
                <v:stroke on="f"/>
                <v:imagedata o:title=""/>
                <o:lock v:ext="edit" aspectratio="f"/>
                <v:textbox>
                  <w:txbxContent>
                    <w:p>
                      <w:pPr>
                        <w:jc w:val="center"/>
                        <w:rPr>
                          <w:rFonts w:hint="eastAsia" w:ascii="仿宋_GB2312" w:hAnsi="Times New Roman" w:eastAsia="仿宋_GB2312"/>
                          <w:color w:val="000000"/>
                          <w:sz w:val="32"/>
                          <w:szCs w:val="32"/>
                        </w:rPr>
                      </w:pPr>
                      <w:bookmarkStart w:id="3" w:name="文号"/>
                      <w:bookmarkEnd w:id="3"/>
                      <w:r>
                        <w:rPr>
                          <w:rFonts w:hint="eastAsia" w:ascii="仿宋_GB2312" w:hAnsi="Times New Roman" w:eastAsia="仿宋_GB2312"/>
                          <w:color w:val="000000"/>
                          <w:sz w:val="32"/>
                          <w:szCs w:val="32"/>
                        </w:rPr>
                        <w:t>赤政发〔2021〕179号</w:t>
                      </w:r>
                    </w:p>
                  </w:txbxContent>
                </v:textbox>
              </v:shape>
            </w:pict>
          </mc:Fallback>
        </mc:AlternateContent>
      </w:r>
      <w:bookmarkEnd w:id="4"/>
    </w:p>
    <w:p>
      <w:pPr>
        <w:adjustRightInd w:val="0"/>
        <w:snapToGrid w:val="0"/>
        <w:spacing w:line="480" w:lineRule="exact"/>
        <w:ind w:firstLine="160" w:firstLineChars="50"/>
        <w:rPr>
          <w:rFonts w:hint="eastAsia" w:ascii="仿宋_GB2312" w:hAnsi="华文仿宋" w:eastAsia="仿宋_GB2312"/>
          <w:sz w:val="32"/>
        </w:rPr>
      </w:pPr>
    </w:p>
    <w:p>
      <w:pPr>
        <w:adjustRightInd w:val="0"/>
        <w:snapToGrid w:val="0"/>
        <w:spacing w:line="480" w:lineRule="exact"/>
        <w:ind w:firstLine="160" w:firstLineChars="50"/>
        <w:rPr>
          <w:rFonts w:hint="eastAsia" w:ascii="仿宋_GB2312" w:hAnsi="华文仿宋" w:eastAsia="仿宋_GB2312"/>
          <w:sz w:val="32"/>
        </w:rPr>
      </w:pPr>
      <w:r>
        <w:rPr>
          <w:rFonts w:hint="eastAsia" w:ascii="仿宋_GB2312" w:hAnsi="华文仿宋" w:eastAsia="仿宋_GB2312"/>
          <w:sz w:val="32"/>
        </w:rPr>
        <w:t xml:space="preserve">    </w:t>
      </w:r>
    </w:p>
    <w:p>
      <w:pPr>
        <w:spacing w:line="560" w:lineRule="exact"/>
        <w:rPr>
          <w:rFonts w:hint="eastAsia" w:ascii="Times New Roman" w:hAnsi="Times New Roman" w:eastAsia="方正小标宋简体"/>
          <w:sz w:val="44"/>
          <w:szCs w:val="44"/>
        </w:rPr>
      </w:pPr>
      <w:bookmarkStart w:id="1" w:name="标题"/>
      <w:bookmarkEnd w:id="1"/>
    </w:p>
    <w:p>
      <w:pPr>
        <w:spacing w:line="480" w:lineRule="exact"/>
        <w:jc w:val="center"/>
        <w:rPr>
          <w:rFonts w:ascii="Times New Roman" w:hAnsi="Times New Roman" w:eastAsia="方正小标宋简体"/>
          <w:spacing w:val="-10"/>
          <w:sz w:val="44"/>
          <w:szCs w:val="44"/>
        </w:rPr>
      </w:pPr>
      <w:r>
        <w:rPr>
          <w:rFonts w:ascii="Times New Roman" w:hAnsi="Times New Roman" w:eastAsia="方正小标宋简体"/>
          <w:spacing w:val="-10"/>
          <w:sz w:val="44"/>
          <w:szCs w:val="44"/>
        </w:rPr>
        <w:t>赤峰市人民政府关于印发《赤峰市关于加快</w:t>
      </w:r>
      <w:r>
        <w:rPr>
          <w:rFonts w:ascii="Times New Roman" w:hAnsi="Times New Roman" w:eastAsia="方正小标宋简体"/>
          <w:spacing w:val="-16"/>
          <w:sz w:val="44"/>
          <w:szCs w:val="44"/>
        </w:rPr>
        <w:t>发展人力资源服务业的若干政策》的通知</w:t>
      </w:r>
    </w:p>
    <w:p>
      <w:pPr>
        <w:spacing w:line="480" w:lineRule="exact"/>
        <w:jc w:val="center"/>
        <w:rPr>
          <w:rFonts w:ascii="Times New Roman" w:hAnsi="Times New Roman" w:eastAsia="方正小标宋简体"/>
          <w:sz w:val="44"/>
          <w:szCs w:val="44"/>
        </w:rPr>
      </w:pPr>
    </w:p>
    <w:p>
      <w:pPr>
        <w:spacing w:line="480" w:lineRule="exact"/>
        <w:rPr>
          <w:rFonts w:ascii="Times New Roman" w:hAnsi="Times New Roman" w:eastAsia="仿宋_GB2312"/>
          <w:sz w:val="32"/>
          <w:szCs w:val="32"/>
        </w:rPr>
      </w:pPr>
      <w:r>
        <w:rPr>
          <w:rFonts w:ascii="Times New Roman" w:hAnsi="Times New Roman" w:eastAsia="仿宋_GB2312"/>
          <w:sz w:val="32"/>
          <w:szCs w:val="32"/>
        </w:rPr>
        <w:t>各旗县区人民政府，市直各委办局</w:t>
      </w:r>
      <w:r>
        <w:rPr>
          <w:rFonts w:hint="eastAsia" w:ascii="Times New Roman" w:hAnsi="Times New Roman" w:eastAsia="仿宋_GB2312"/>
          <w:sz w:val="32"/>
          <w:szCs w:val="32"/>
        </w:rPr>
        <w:t>，</w:t>
      </w:r>
      <w:r>
        <w:rPr>
          <w:rFonts w:ascii="Times New Roman" w:hAnsi="Times New Roman" w:eastAsia="仿宋_GB2312"/>
          <w:sz w:val="32"/>
          <w:szCs w:val="32"/>
        </w:rPr>
        <w:t>各企事业单位：</w:t>
      </w:r>
    </w:p>
    <w:p>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《赤峰市关于加快发展人力资源服务业的若干政策》已经</w:t>
      </w:r>
      <w:r>
        <w:rPr>
          <w:rFonts w:hint="eastAsia" w:ascii="Times New Roman" w:hAnsi="Times New Roman" w:eastAsia="仿宋_GB2312"/>
          <w:sz w:val="32"/>
          <w:szCs w:val="32"/>
        </w:rPr>
        <w:t>市政</w:t>
      </w:r>
      <w:r>
        <w:rPr>
          <w:rFonts w:hint="eastAsia" w:ascii="仿宋_GB2312" w:hAnsi="Times New Roman" w:eastAsia="仿宋_GB2312"/>
          <w:sz w:val="32"/>
          <w:szCs w:val="32"/>
        </w:rPr>
        <w:t>府</w:t>
      </w:r>
      <w:r>
        <w:rPr>
          <w:rFonts w:ascii="仿宋_GB2312" w:hAnsi="Times New Roman" w:eastAsia="仿宋_GB2312"/>
          <w:sz w:val="32"/>
          <w:szCs w:val="32"/>
        </w:rPr>
        <w:t>2021</w:t>
      </w:r>
      <w:r>
        <w:rPr>
          <w:rFonts w:hint="eastAsia" w:ascii="仿宋_GB2312" w:hAnsi="Times New Roman" w:eastAsia="仿宋_GB2312"/>
          <w:sz w:val="32"/>
          <w:szCs w:val="32"/>
        </w:rPr>
        <w:t>年第</w:t>
      </w:r>
      <w:r>
        <w:rPr>
          <w:rFonts w:ascii="仿宋_GB2312" w:hAnsi="Times New Roman" w:eastAsia="仿宋_GB2312"/>
          <w:sz w:val="32"/>
          <w:szCs w:val="32"/>
        </w:rPr>
        <w:t>16</w:t>
      </w:r>
      <w:r>
        <w:rPr>
          <w:rFonts w:hint="eastAsia" w:ascii="仿宋_GB2312" w:hAnsi="Times New Roman" w:eastAsia="仿宋_GB2312"/>
          <w:sz w:val="32"/>
          <w:szCs w:val="32"/>
        </w:rPr>
        <w:t>次常</w:t>
      </w:r>
      <w:r>
        <w:rPr>
          <w:rFonts w:hint="eastAsia" w:ascii="Times New Roman" w:hAnsi="Times New Roman" w:eastAsia="仿宋_GB2312"/>
          <w:sz w:val="32"/>
          <w:szCs w:val="32"/>
        </w:rPr>
        <w:t>务会议</w:t>
      </w:r>
      <w:r>
        <w:rPr>
          <w:rFonts w:ascii="Times New Roman" w:hAnsi="Times New Roman" w:eastAsia="仿宋_GB2312"/>
          <w:sz w:val="32"/>
          <w:szCs w:val="32"/>
        </w:rPr>
        <w:t>审议通过，现印发给你们。请结合实际，认真抓好贯彻落实。</w:t>
      </w:r>
    </w:p>
    <w:p>
      <w:pPr>
        <w:spacing w:line="480" w:lineRule="exact"/>
        <w:ind w:firstLine="640" w:firstLineChars="200"/>
        <w:rPr>
          <w:rFonts w:ascii="Times New Roman" w:hAnsi="Times New Roman" w:eastAsia="仿宋_GB2312"/>
          <w:sz w:val="32"/>
          <w:szCs w:val="32"/>
        </w:rPr>
      </w:pPr>
    </w:p>
    <w:p>
      <w:pPr>
        <w:spacing w:line="480" w:lineRule="exact"/>
        <w:ind w:firstLine="640" w:firstLineChars="200"/>
        <w:rPr>
          <w:rFonts w:ascii="Times New Roman" w:hAnsi="Times New Roman" w:eastAsia="仿宋_GB2312"/>
          <w:sz w:val="32"/>
          <w:szCs w:val="32"/>
        </w:rPr>
      </w:pPr>
    </w:p>
    <w:p>
      <w:pPr>
        <w:wordWrap/>
        <w:spacing w:line="480" w:lineRule="exact"/>
        <w:ind w:right="1280" w:firstLine="640" w:firstLineChars="200"/>
        <w:jc w:val="center"/>
        <w:rPr>
          <w:rFonts w:hint="eastAsia" w:ascii="仿宋_GB2312" w:hAnsi="Times New Roman" w:eastAsia="仿宋_GB2312"/>
          <w:sz w:val="32"/>
          <w:szCs w:val="32"/>
        </w:rPr>
      </w:pPr>
      <w:r>
        <w:rPr>
          <w:rFonts w:ascii="Times New Roman" w:hAnsi="Times New Roman" w:eastAsia="仿宋_GB2312"/>
          <w:sz w:val="32"/>
          <w:szCs w:val="32"/>
        </w:rPr>
        <w:t xml:space="preserve">                     </w:t>
      </w:r>
      <w:r>
        <w:rPr>
          <w:rFonts w:hint="eastAsia" w:ascii="仿宋_GB2312" w:hAnsi="Times New Roman" w:eastAsia="仿宋_GB2312"/>
          <w:sz w:val="32"/>
          <w:szCs w:val="32"/>
        </w:rPr>
        <w:t>2021年12月29日</w:t>
      </w:r>
    </w:p>
    <w:p>
      <w:pPr>
        <w:wordWrap/>
        <w:spacing w:line="480" w:lineRule="exact"/>
        <w:ind w:right="1280" w:firstLine="640" w:firstLineChars="200"/>
        <w:jc w:val="both"/>
        <w:rPr>
          <w:rFonts w:hint="eastAsia" w:ascii="Times New Roman" w:hAnsi="Times New Roman" w:eastAsia="仿宋_GB2312"/>
          <w:sz w:val="32"/>
          <w:szCs w:val="32"/>
        </w:rPr>
      </w:pPr>
      <w:r>
        <w:rPr>
          <w:rFonts w:hint="eastAsia" w:ascii="Times New Roman" w:hAnsi="Times New Roman" w:eastAsia="仿宋_GB2312"/>
          <w:sz w:val="32"/>
          <w:szCs w:val="32"/>
        </w:rPr>
        <w:t>（此件公开发布）</w:t>
      </w:r>
    </w:p>
    <w:p>
      <w:pPr>
        <w:spacing w:line="620" w:lineRule="exact"/>
        <w:jc w:val="center"/>
        <w:rPr>
          <w:rFonts w:ascii="方正小标宋简体" w:eastAsia="方正小标宋简体"/>
          <w:b w:val="0"/>
          <w:sz w:val="40"/>
          <w:szCs w:val="44"/>
        </w:rPr>
      </w:pPr>
      <w:r>
        <w:rPr>
          <w:rFonts w:hint="eastAsia" w:ascii="方正小标宋简体" w:eastAsia="方正小标宋简体"/>
          <w:sz w:val="40"/>
          <w:szCs w:val="44"/>
        </w:rPr>
        <w:t>赤峰市关于加快发展人力资源服务业的若干政策</w:t>
      </w:r>
    </w:p>
    <w:p>
      <w:pPr>
        <w:spacing w:line="620" w:lineRule="exact"/>
        <w:ind w:firstLine="422" w:firstLineChars="200"/>
        <w:rPr>
          <w:rFonts w:ascii="仿宋_GB2312" w:eastAsia="仿宋_GB2312"/>
          <w:b/>
        </w:rPr>
      </w:pPr>
    </w:p>
    <w:p>
      <w:pPr>
        <w:spacing w:line="620" w:lineRule="exact"/>
        <w:ind w:firstLine="640" w:firstLineChars="200"/>
        <w:rPr>
          <w:rFonts w:ascii="仿宋_GB2312" w:eastAsia="仿宋_GB2312"/>
          <w:b/>
          <w:sz w:val="32"/>
          <w:szCs w:val="32"/>
        </w:rPr>
      </w:pPr>
      <w:r>
        <w:rPr>
          <w:rFonts w:hint="eastAsia" w:ascii="仿宋_GB2312" w:eastAsia="仿宋_GB2312"/>
          <w:sz w:val="32"/>
          <w:szCs w:val="32"/>
        </w:rPr>
        <w:t>为贯彻落实中央、</w:t>
      </w:r>
      <w:r>
        <w:rPr>
          <w:rFonts w:ascii="仿宋_GB2312" w:eastAsia="仿宋_GB2312"/>
          <w:sz w:val="32"/>
          <w:szCs w:val="32"/>
        </w:rPr>
        <w:t>自治区</w:t>
      </w:r>
      <w:r>
        <w:rPr>
          <w:rFonts w:hint="eastAsia" w:ascii="仿宋_GB2312" w:eastAsia="仿宋_GB2312"/>
          <w:sz w:val="32"/>
          <w:szCs w:val="32"/>
        </w:rPr>
        <w:t>加快发展服务业的</w:t>
      </w:r>
      <w:r>
        <w:rPr>
          <w:rFonts w:ascii="仿宋_GB2312" w:eastAsia="仿宋_GB2312"/>
          <w:sz w:val="32"/>
          <w:szCs w:val="32"/>
        </w:rPr>
        <w:t>决策部署</w:t>
      </w:r>
      <w:r>
        <w:rPr>
          <w:rFonts w:hint="eastAsia" w:ascii="仿宋_GB2312" w:eastAsia="仿宋_GB2312"/>
          <w:sz w:val="32"/>
          <w:szCs w:val="32"/>
        </w:rPr>
        <w:t>，</w:t>
      </w:r>
      <w:r>
        <w:rPr>
          <w:rFonts w:ascii="仿宋_GB2312" w:eastAsia="仿宋_GB2312"/>
          <w:sz w:val="32"/>
          <w:szCs w:val="32"/>
        </w:rPr>
        <w:t>推动</w:t>
      </w:r>
      <w:r>
        <w:rPr>
          <w:rFonts w:hint="eastAsia" w:ascii="仿宋_GB2312" w:eastAsia="仿宋_GB2312"/>
          <w:sz w:val="32"/>
          <w:szCs w:val="32"/>
        </w:rPr>
        <w:t>《人力资源市场暂行条例》落地落实,以产业引导</w:t>
      </w:r>
      <w:r>
        <w:rPr>
          <w:rFonts w:ascii="仿宋_GB2312" w:eastAsia="仿宋_GB2312"/>
          <w:sz w:val="32"/>
          <w:szCs w:val="32"/>
        </w:rPr>
        <w:t>、政策</w:t>
      </w:r>
      <w:r>
        <w:rPr>
          <w:rFonts w:hint="eastAsia" w:ascii="仿宋_GB2312" w:eastAsia="仿宋_GB2312"/>
          <w:sz w:val="32"/>
          <w:szCs w:val="32"/>
        </w:rPr>
        <w:t>扶持、</w:t>
      </w:r>
      <w:r>
        <w:rPr>
          <w:rFonts w:ascii="仿宋_GB2312" w:eastAsia="仿宋_GB2312"/>
          <w:sz w:val="32"/>
          <w:szCs w:val="32"/>
        </w:rPr>
        <w:t>环境营造为</w:t>
      </w:r>
      <w:r>
        <w:rPr>
          <w:rFonts w:hint="eastAsia" w:ascii="仿宋_GB2312" w:eastAsia="仿宋_GB2312"/>
          <w:sz w:val="32"/>
          <w:szCs w:val="32"/>
        </w:rPr>
        <w:t>重点,构建人力资源协同发展产业体系，为</w:t>
      </w:r>
      <w:r>
        <w:rPr>
          <w:rFonts w:ascii="仿宋_GB2312" w:eastAsia="仿宋_GB2312"/>
          <w:sz w:val="32"/>
          <w:szCs w:val="32"/>
        </w:rPr>
        <w:t>赤峰市高质量发展</w:t>
      </w:r>
      <w:r>
        <w:rPr>
          <w:rFonts w:hint="eastAsia" w:ascii="仿宋_GB2312" w:eastAsia="仿宋_GB2312"/>
          <w:sz w:val="32"/>
          <w:szCs w:val="32"/>
        </w:rPr>
        <w:t>提供</w:t>
      </w:r>
      <w:r>
        <w:rPr>
          <w:rFonts w:ascii="仿宋_GB2312" w:eastAsia="仿宋_GB2312"/>
          <w:sz w:val="32"/>
          <w:szCs w:val="32"/>
        </w:rPr>
        <w:t>优质高效的</w:t>
      </w:r>
      <w:r>
        <w:rPr>
          <w:rFonts w:hint="eastAsia" w:ascii="仿宋_GB2312" w:eastAsia="仿宋_GB2312"/>
          <w:sz w:val="32"/>
          <w:szCs w:val="32"/>
        </w:rPr>
        <w:t>人力资源保障，现制定加快发展人力资源服务业的若干政策。</w:t>
      </w:r>
    </w:p>
    <w:p>
      <w:pPr>
        <w:spacing w:line="620" w:lineRule="exact"/>
        <w:ind w:firstLine="640" w:firstLineChars="200"/>
        <w:rPr>
          <w:rFonts w:ascii="仿宋_GB2312" w:eastAsia="仿宋_GB2312"/>
          <w:b/>
          <w:sz w:val="32"/>
          <w:szCs w:val="32"/>
        </w:rPr>
      </w:pPr>
      <w:r>
        <w:rPr>
          <w:rFonts w:hint="eastAsia" w:ascii="黑体" w:hAnsi="黑体" w:eastAsia="黑体"/>
          <w:sz w:val="32"/>
          <w:szCs w:val="32"/>
        </w:rPr>
        <w:t>第一条</w:t>
      </w:r>
      <w:r>
        <w:rPr>
          <w:rFonts w:hint="eastAsia" w:ascii="仿宋_GB2312" w:eastAsia="仿宋_GB2312"/>
          <w:sz w:val="32"/>
          <w:szCs w:val="32"/>
        </w:rPr>
        <w:t xml:space="preserve">  设立赤峰市人力资源服务业发展专项资金。市财政每年预算3000</w:t>
      </w:r>
      <w:r>
        <w:rPr>
          <w:rFonts w:ascii="仿宋_GB2312" w:eastAsia="仿宋_GB2312"/>
          <w:sz w:val="32"/>
          <w:szCs w:val="32"/>
        </w:rPr>
        <w:t>万元</w:t>
      </w:r>
      <w:r>
        <w:rPr>
          <w:rFonts w:hint="eastAsia" w:ascii="仿宋_GB2312" w:eastAsia="仿宋_GB2312"/>
          <w:sz w:val="32"/>
          <w:szCs w:val="32"/>
        </w:rPr>
        <w:t>资金</w:t>
      </w:r>
      <w:r>
        <w:rPr>
          <w:rFonts w:ascii="仿宋_GB2312" w:eastAsia="仿宋_GB2312"/>
          <w:sz w:val="32"/>
          <w:szCs w:val="32"/>
        </w:rPr>
        <w:t>，用于</w:t>
      </w:r>
      <w:r>
        <w:rPr>
          <w:rFonts w:hint="eastAsia" w:ascii="仿宋_GB2312" w:eastAsia="仿宋_GB2312"/>
          <w:sz w:val="32"/>
          <w:szCs w:val="32"/>
        </w:rPr>
        <w:t>支持人力资源服务产业园建设、引进知名人力资源品牌、发放入园引荐奖励、补贴重大行业交流活动、支持创新创业就业、培养领军人才、奖励优质机构等。</w:t>
      </w:r>
    </w:p>
    <w:p>
      <w:pPr>
        <w:spacing w:line="620" w:lineRule="exact"/>
        <w:ind w:firstLine="640" w:firstLineChars="200"/>
        <w:rPr>
          <w:rFonts w:ascii="仿宋_GB2312" w:eastAsia="仿宋_GB2312"/>
          <w:b/>
          <w:sz w:val="32"/>
          <w:szCs w:val="32"/>
        </w:rPr>
      </w:pPr>
      <w:r>
        <w:rPr>
          <w:rFonts w:hint="eastAsia" w:ascii="黑体" w:hAnsi="黑体" w:eastAsia="黑体"/>
          <w:sz w:val="32"/>
          <w:szCs w:val="32"/>
        </w:rPr>
        <w:t xml:space="preserve">第二条  </w:t>
      </w:r>
      <w:r>
        <w:rPr>
          <w:rFonts w:hint="eastAsia" w:ascii="仿宋_GB2312" w:eastAsia="仿宋_GB2312"/>
          <w:sz w:val="32"/>
          <w:szCs w:val="32"/>
        </w:rPr>
        <w:t>给予建设人力资源服务产业园奖励。鼓励有条件的旗县区建设人力资源服务产业园，对批准并按照国家级、自治区级和市级产业园标准建设的，根据园区公共服务平台建设、基础设施投入、信息化建设、运营管理、宣传推介等情况，结合园区实际运营情况，市</w:t>
      </w:r>
      <w:r>
        <w:rPr>
          <w:rFonts w:ascii="仿宋_GB2312" w:eastAsia="仿宋_GB2312"/>
          <w:sz w:val="32"/>
          <w:szCs w:val="32"/>
        </w:rPr>
        <w:t>财政采取以奖代补</w:t>
      </w:r>
      <w:r>
        <w:rPr>
          <w:rFonts w:hint="eastAsia" w:ascii="仿宋_GB2312" w:eastAsia="仿宋_GB2312"/>
          <w:sz w:val="32"/>
          <w:szCs w:val="32"/>
        </w:rPr>
        <w:t>的</w:t>
      </w:r>
      <w:r>
        <w:rPr>
          <w:rFonts w:ascii="仿宋_GB2312" w:eastAsia="仿宋_GB2312"/>
          <w:sz w:val="32"/>
          <w:szCs w:val="32"/>
        </w:rPr>
        <w:t>方式</w:t>
      </w:r>
      <w:r>
        <w:rPr>
          <w:rFonts w:hint="eastAsia" w:ascii="仿宋_GB2312" w:eastAsia="仿宋_GB2312"/>
          <w:sz w:val="32"/>
          <w:szCs w:val="32"/>
        </w:rPr>
        <w:t>给予支持</w:t>
      </w:r>
      <w:r>
        <w:rPr>
          <w:rFonts w:ascii="仿宋_GB2312" w:eastAsia="仿宋_GB2312"/>
          <w:sz w:val="32"/>
          <w:szCs w:val="32"/>
        </w:rPr>
        <w:t>。</w:t>
      </w:r>
      <w:r>
        <w:rPr>
          <w:rFonts w:hint="eastAsia" w:ascii="仿宋_GB2312" w:eastAsia="仿宋_GB2312"/>
          <w:sz w:val="32"/>
          <w:szCs w:val="32"/>
        </w:rPr>
        <w:t>国家级的每年给予园区所在地县级人民政府不超过1500万元奖励、自治区级的每年给予园区所在地县级人民政府不超过300万元奖励、市级的每年给予园区所在地县级人民政府100万元奖励。</w:t>
      </w:r>
    </w:p>
    <w:p>
      <w:pPr>
        <w:spacing w:line="620" w:lineRule="exact"/>
        <w:ind w:firstLine="640" w:firstLineChars="200"/>
        <w:rPr>
          <w:rFonts w:ascii="仿宋_GB2312" w:eastAsia="仿宋_GB2312"/>
          <w:b/>
          <w:sz w:val="32"/>
          <w:szCs w:val="32"/>
        </w:rPr>
      </w:pPr>
      <w:r>
        <w:rPr>
          <w:rFonts w:hint="eastAsia" w:ascii="黑体" w:hAnsi="黑体" w:eastAsia="黑体"/>
          <w:sz w:val="32"/>
          <w:szCs w:val="32"/>
        </w:rPr>
        <w:t>第三条</w:t>
      </w:r>
      <w:r>
        <w:rPr>
          <w:rFonts w:hint="eastAsia" w:ascii="仿宋_GB2312" w:eastAsia="仿宋_GB2312"/>
          <w:sz w:val="32"/>
          <w:szCs w:val="32"/>
        </w:rPr>
        <w:t xml:space="preserve">  大力引进知名人力资源服务品牌。新入驻我市的全球人力资源服务机构</w:t>
      </w:r>
      <w:r>
        <w:rPr>
          <w:rFonts w:ascii="仿宋_GB2312" w:eastAsia="仿宋_GB2312"/>
          <w:sz w:val="32"/>
          <w:szCs w:val="32"/>
        </w:rPr>
        <w:t>50强、中国人力资源服务机构100强企业</w:t>
      </w:r>
      <w:r>
        <w:rPr>
          <w:rFonts w:hint="eastAsia" w:ascii="仿宋_GB2312" w:eastAsia="仿宋_GB2312"/>
          <w:sz w:val="32"/>
          <w:szCs w:val="32"/>
        </w:rPr>
        <w:t>，在我市设立具有独立法人资格的分支机构，</w:t>
      </w:r>
      <w:r>
        <w:rPr>
          <w:rFonts w:ascii="仿宋_GB2312" w:eastAsia="仿宋_GB2312"/>
          <w:sz w:val="32"/>
          <w:szCs w:val="32"/>
        </w:rPr>
        <w:t>其营业收入达到5000万元（含）以上，正常开展业务并运行一年的，经</w:t>
      </w:r>
      <w:r>
        <w:rPr>
          <w:rFonts w:hint="eastAsia" w:ascii="仿宋_GB2312" w:eastAsia="仿宋_GB2312"/>
          <w:sz w:val="32"/>
          <w:szCs w:val="32"/>
        </w:rPr>
        <w:t>市人力资源和社会保障部门</w:t>
      </w:r>
      <w:r>
        <w:rPr>
          <w:rFonts w:ascii="仿宋_GB2312" w:eastAsia="仿宋_GB2312"/>
          <w:sz w:val="32"/>
          <w:szCs w:val="32"/>
        </w:rPr>
        <w:t>考</w:t>
      </w:r>
      <w:r>
        <w:rPr>
          <w:rFonts w:hint="eastAsia" w:ascii="仿宋_GB2312" w:eastAsia="仿宋_GB2312"/>
          <w:sz w:val="32"/>
          <w:szCs w:val="32"/>
        </w:rPr>
        <w:t>察</w:t>
      </w:r>
      <w:r>
        <w:rPr>
          <w:rFonts w:ascii="仿宋_GB2312" w:eastAsia="仿宋_GB2312"/>
          <w:sz w:val="32"/>
          <w:szCs w:val="32"/>
        </w:rPr>
        <w:t>评估后，给予一次性</w:t>
      </w:r>
      <w:r>
        <w:rPr>
          <w:rFonts w:hint="eastAsia" w:ascii="仿宋_GB2312" w:eastAsia="仿宋_GB2312"/>
          <w:sz w:val="32"/>
          <w:szCs w:val="32"/>
        </w:rPr>
        <w:t>60</w:t>
      </w:r>
      <w:r>
        <w:rPr>
          <w:rFonts w:ascii="仿宋_GB2312" w:eastAsia="仿宋_GB2312"/>
          <w:sz w:val="32"/>
          <w:szCs w:val="32"/>
        </w:rPr>
        <w:t>万元的品牌入驻奖励；自治区级人力资源服务骨干企业或人力资源诚信示范服务</w:t>
      </w:r>
      <w:r>
        <w:rPr>
          <w:rFonts w:hint="eastAsia" w:ascii="仿宋_GB2312" w:eastAsia="仿宋_GB2312"/>
          <w:sz w:val="32"/>
          <w:szCs w:val="32"/>
        </w:rPr>
        <w:t>机构</w:t>
      </w:r>
      <w:r>
        <w:rPr>
          <w:rFonts w:ascii="仿宋_GB2312" w:eastAsia="仿宋_GB2312"/>
          <w:sz w:val="32"/>
          <w:szCs w:val="32"/>
        </w:rPr>
        <w:t>，在我市设立总部正常开展业务并运行一年的，经考</w:t>
      </w:r>
      <w:r>
        <w:rPr>
          <w:rFonts w:hint="eastAsia" w:ascii="仿宋_GB2312" w:eastAsia="仿宋_GB2312"/>
          <w:sz w:val="32"/>
          <w:szCs w:val="32"/>
        </w:rPr>
        <w:t>察</w:t>
      </w:r>
      <w:r>
        <w:rPr>
          <w:rFonts w:ascii="仿宋_GB2312" w:eastAsia="仿宋_GB2312"/>
          <w:sz w:val="32"/>
          <w:szCs w:val="32"/>
        </w:rPr>
        <w:t>评估后，给予一次性10万元入驻奖励。</w:t>
      </w:r>
    </w:p>
    <w:p>
      <w:pPr>
        <w:spacing w:line="620" w:lineRule="exact"/>
        <w:ind w:firstLine="640" w:firstLineChars="200"/>
        <w:rPr>
          <w:rFonts w:ascii="仿宋_GB2312" w:eastAsia="仿宋_GB2312"/>
          <w:b/>
          <w:sz w:val="32"/>
          <w:szCs w:val="32"/>
        </w:rPr>
      </w:pPr>
      <w:r>
        <w:rPr>
          <w:rFonts w:hint="eastAsia" w:ascii="黑体" w:hAnsi="黑体" w:eastAsia="黑体"/>
          <w:sz w:val="32"/>
          <w:szCs w:val="32"/>
        </w:rPr>
        <w:t>第四条</w:t>
      </w:r>
      <w:r>
        <w:rPr>
          <w:rFonts w:hint="eastAsia" w:ascii="仿宋_GB2312" w:eastAsia="仿宋_GB2312"/>
          <w:sz w:val="32"/>
          <w:szCs w:val="32"/>
        </w:rPr>
        <w:t xml:space="preserve">  建立引荐奖励机制。在我市已经开展业务的人力资源服务机构从市外引荐符合产业发展需求的人力资源行业链条企业</w:t>
      </w:r>
      <w:r>
        <w:rPr>
          <w:rFonts w:hint="eastAsia" w:ascii="仿宋_GB2312" w:eastAsia="仿宋_GB2312"/>
          <w:color w:val="000000"/>
          <w:sz w:val="32"/>
          <w:szCs w:val="32"/>
        </w:rPr>
        <w:t>入驻</w:t>
      </w:r>
      <w:r>
        <w:rPr>
          <w:rFonts w:hint="eastAsia" w:ascii="仿宋_GB2312" w:eastAsia="仿宋_GB2312"/>
          <w:sz w:val="32"/>
          <w:szCs w:val="32"/>
        </w:rPr>
        <w:t>满一年且工商、税务、统计等关系在赤峰市的，由市财政按照被引荐企业入驻我市一年内对市本级经济贡献（</w:t>
      </w:r>
      <w:r>
        <w:rPr>
          <w:rFonts w:ascii="仿宋_GB2312" w:eastAsia="仿宋_GB2312"/>
          <w:sz w:val="32"/>
          <w:szCs w:val="32"/>
        </w:rPr>
        <w:t>增值税和所得税</w:t>
      </w:r>
      <w:r>
        <w:rPr>
          <w:rFonts w:hint="eastAsia" w:ascii="仿宋_GB2312" w:eastAsia="仿宋_GB2312"/>
          <w:sz w:val="32"/>
          <w:szCs w:val="32"/>
        </w:rPr>
        <w:t>市级</w:t>
      </w:r>
      <w:r>
        <w:rPr>
          <w:rFonts w:ascii="仿宋_GB2312" w:eastAsia="仿宋_GB2312"/>
          <w:sz w:val="32"/>
          <w:szCs w:val="32"/>
        </w:rPr>
        <w:t>留成部分</w:t>
      </w:r>
      <w:r>
        <w:rPr>
          <w:rFonts w:hint="eastAsia" w:ascii="仿宋_GB2312" w:eastAsia="仿宋_GB2312"/>
          <w:sz w:val="32"/>
          <w:szCs w:val="32"/>
        </w:rPr>
        <w:t>）的</w:t>
      </w:r>
      <w:r>
        <w:rPr>
          <w:rFonts w:ascii="仿宋_GB2312" w:eastAsia="仿宋_GB2312"/>
          <w:sz w:val="32"/>
          <w:szCs w:val="32"/>
        </w:rPr>
        <w:t>10%</w:t>
      </w:r>
      <w:r>
        <w:rPr>
          <w:rFonts w:hint="eastAsia" w:ascii="仿宋_GB2312" w:eastAsia="仿宋_GB2312"/>
          <w:sz w:val="32"/>
          <w:szCs w:val="32"/>
        </w:rPr>
        <w:t>，</w:t>
      </w:r>
      <w:r>
        <w:rPr>
          <w:rFonts w:ascii="仿宋_GB2312" w:eastAsia="仿宋_GB2312"/>
          <w:sz w:val="32"/>
          <w:szCs w:val="32"/>
        </w:rPr>
        <w:t>给予引荐</w:t>
      </w:r>
      <w:r>
        <w:rPr>
          <w:rFonts w:hint="eastAsia" w:ascii="仿宋_GB2312" w:eastAsia="仿宋_GB2312"/>
          <w:sz w:val="32"/>
          <w:szCs w:val="32"/>
        </w:rPr>
        <w:t>机构</w:t>
      </w:r>
      <w:r>
        <w:rPr>
          <w:rFonts w:ascii="仿宋_GB2312" w:eastAsia="仿宋_GB2312"/>
          <w:sz w:val="32"/>
          <w:szCs w:val="32"/>
        </w:rPr>
        <w:t>一次性奖励，每家最高不超过</w:t>
      </w:r>
      <w:r>
        <w:rPr>
          <w:rFonts w:hint="eastAsia" w:ascii="仿宋_GB2312" w:eastAsia="仿宋_GB2312"/>
          <w:sz w:val="32"/>
          <w:szCs w:val="32"/>
        </w:rPr>
        <w:t>20</w:t>
      </w:r>
      <w:r>
        <w:rPr>
          <w:rFonts w:ascii="仿宋_GB2312" w:eastAsia="仿宋_GB2312"/>
          <w:sz w:val="32"/>
          <w:szCs w:val="32"/>
        </w:rPr>
        <w:t>万元。鼓励入驻机构多引荐，引荐数量不设上限。</w:t>
      </w:r>
    </w:p>
    <w:p>
      <w:pPr>
        <w:spacing w:line="620" w:lineRule="exact"/>
        <w:ind w:firstLine="640" w:firstLineChars="200"/>
        <w:rPr>
          <w:rFonts w:ascii="仿宋_GB2312" w:eastAsia="仿宋_GB2312"/>
          <w:b/>
          <w:sz w:val="32"/>
          <w:szCs w:val="32"/>
        </w:rPr>
      </w:pPr>
      <w:r>
        <w:rPr>
          <w:rFonts w:hint="eastAsia" w:ascii="黑体" w:hAnsi="黑体" w:eastAsia="黑体"/>
          <w:sz w:val="32"/>
          <w:szCs w:val="32"/>
        </w:rPr>
        <w:t>第五条</w:t>
      </w:r>
      <w:r>
        <w:rPr>
          <w:rFonts w:hint="eastAsia" w:ascii="仿宋_GB2312" w:eastAsia="仿宋_GB2312"/>
          <w:sz w:val="32"/>
          <w:szCs w:val="32"/>
        </w:rPr>
        <w:t xml:space="preserve">  给予人力资源服务机构入驻园区</w:t>
      </w:r>
      <w:r>
        <w:rPr>
          <w:rFonts w:ascii="仿宋_GB2312" w:eastAsia="仿宋_GB2312"/>
          <w:sz w:val="32"/>
          <w:szCs w:val="32"/>
        </w:rPr>
        <w:t>经营贡献</w:t>
      </w:r>
      <w:r>
        <w:rPr>
          <w:rFonts w:hint="eastAsia" w:ascii="仿宋_GB2312" w:eastAsia="仿宋_GB2312"/>
          <w:sz w:val="32"/>
          <w:szCs w:val="32"/>
        </w:rPr>
        <w:t>奖励</w:t>
      </w:r>
      <w:r>
        <w:rPr>
          <w:rFonts w:ascii="仿宋_GB2312" w:eastAsia="仿宋_GB2312"/>
          <w:sz w:val="32"/>
          <w:szCs w:val="32"/>
        </w:rPr>
        <w:t>。对于入驻</w:t>
      </w:r>
      <w:r>
        <w:rPr>
          <w:rFonts w:hint="eastAsia" w:ascii="仿宋_GB2312" w:eastAsia="仿宋_GB2312"/>
          <w:sz w:val="32"/>
          <w:szCs w:val="32"/>
        </w:rPr>
        <w:t>我市人力资源服务产业</w:t>
      </w:r>
      <w:r>
        <w:rPr>
          <w:rFonts w:ascii="仿宋_GB2312" w:eastAsia="仿宋_GB2312"/>
          <w:sz w:val="32"/>
          <w:szCs w:val="32"/>
        </w:rPr>
        <w:t>园区的</w:t>
      </w:r>
      <w:r>
        <w:rPr>
          <w:rFonts w:hint="eastAsia" w:ascii="仿宋_GB2312" w:eastAsia="仿宋_GB2312"/>
          <w:sz w:val="32"/>
          <w:szCs w:val="32"/>
        </w:rPr>
        <w:t>人力资源服务</w:t>
      </w:r>
      <w:r>
        <w:rPr>
          <w:rFonts w:ascii="仿宋_GB2312" w:eastAsia="仿宋_GB2312"/>
          <w:sz w:val="32"/>
          <w:szCs w:val="32"/>
        </w:rPr>
        <w:t>机构，由市</w:t>
      </w:r>
      <w:r>
        <w:rPr>
          <w:rFonts w:hint="eastAsia" w:ascii="仿宋_GB2312" w:eastAsia="仿宋_GB2312"/>
          <w:sz w:val="32"/>
          <w:szCs w:val="32"/>
        </w:rPr>
        <w:t>级财政</w:t>
      </w:r>
      <w:r>
        <w:rPr>
          <w:rFonts w:ascii="仿宋_GB2312" w:eastAsia="仿宋_GB2312"/>
          <w:sz w:val="32"/>
          <w:szCs w:val="32"/>
        </w:rPr>
        <w:t>以其缴纳的增值税和所得税</w:t>
      </w:r>
      <w:r>
        <w:rPr>
          <w:rFonts w:hint="eastAsia" w:ascii="仿宋_GB2312" w:eastAsia="仿宋_GB2312"/>
          <w:sz w:val="32"/>
          <w:szCs w:val="32"/>
        </w:rPr>
        <w:t>市级留成部分为基数</w:t>
      </w:r>
      <w:r>
        <w:rPr>
          <w:rFonts w:ascii="仿宋_GB2312" w:eastAsia="仿宋_GB2312"/>
          <w:sz w:val="32"/>
          <w:szCs w:val="32"/>
        </w:rPr>
        <w:t>，</w:t>
      </w:r>
      <w:r>
        <w:rPr>
          <w:rFonts w:hint="eastAsia" w:ascii="仿宋_GB2312" w:eastAsia="仿宋_GB2312"/>
          <w:sz w:val="32"/>
          <w:szCs w:val="32"/>
        </w:rPr>
        <w:t>按照其入园第一年90%、第二年80%、第三年70%、第四年60%的比例给予奖励</w:t>
      </w:r>
      <w:r>
        <w:rPr>
          <w:rFonts w:ascii="仿宋_GB2312" w:eastAsia="仿宋_GB2312"/>
          <w:sz w:val="32"/>
          <w:szCs w:val="32"/>
        </w:rPr>
        <w:t>，</w:t>
      </w:r>
      <w:r>
        <w:rPr>
          <w:rFonts w:hint="eastAsia" w:ascii="仿宋_GB2312" w:eastAsia="仿宋_GB2312"/>
          <w:sz w:val="32"/>
          <w:szCs w:val="32"/>
        </w:rPr>
        <w:t>鼓励其扩大经营</w:t>
      </w:r>
      <w:r>
        <w:rPr>
          <w:rFonts w:ascii="仿宋_GB2312" w:eastAsia="仿宋_GB2312"/>
          <w:sz w:val="32"/>
          <w:szCs w:val="32"/>
        </w:rPr>
        <w:t>。</w:t>
      </w:r>
    </w:p>
    <w:p>
      <w:pPr>
        <w:spacing w:line="620" w:lineRule="exact"/>
        <w:ind w:firstLine="640" w:firstLineChars="200"/>
        <w:rPr>
          <w:rFonts w:ascii="仿宋_GB2312" w:eastAsia="仿宋_GB2312"/>
          <w:b/>
          <w:sz w:val="32"/>
          <w:szCs w:val="32"/>
        </w:rPr>
      </w:pPr>
      <w:r>
        <w:rPr>
          <w:rFonts w:hint="eastAsia" w:ascii="黑体" w:hAnsi="黑体" w:eastAsia="黑体"/>
          <w:sz w:val="32"/>
          <w:szCs w:val="32"/>
        </w:rPr>
        <w:t>第六条</w:t>
      </w:r>
      <w:r>
        <w:rPr>
          <w:rFonts w:hint="eastAsia" w:ascii="仿宋_GB2312" w:eastAsia="仿宋_GB2312"/>
          <w:sz w:val="32"/>
          <w:szCs w:val="32"/>
        </w:rPr>
        <w:t xml:space="preserve">  设立行业交流活动补贴。人力资源服务机构在赤峰市主办具有影响力的人力资源行业峰会、学术研讨会、专业论坛等公益性质行业交流活动的，参会企业达</w:t>
      </w:r>
      <w:r>
        <w:rPr>
          <w:rFonts w:ascii="仿宋_GB2312" w:eastAsia="仿宋_GB2312"/>
          <w:sz w:val="32"/>
          <w:szCs w:val="32"/>
        </w:rPr>
        <w:t>50家（含）及人数达到100人（含）的，给予</w:t>
      </w:r>
      <w:r>
        <w:rPr>
          <w:rFonts w:hint="eastAsia" w:ascii="仿宋_GB2312" w:eastAsia="仿宋_GB2312"/>
          <w:sz w:val="32"/>
          <w:szCs w:val="32"/>
        </w:rPr>
        <w:t>专家费、场地和设备租赁费、会场布置费、广告推介费、活动期间交通费等</w:t>
      </w:r>
      <w:r>
        <w:rPr>
          <w:rFonts w:ascii="仿宋_GB2312" w:eastAsia="仿宋_GB2312"/>
          <w:sz w:val="32"/>
          <w:szCs w:val="32"/>
        </w:rPr>
        <w:t>50%的补贴，每场最高不超过</w:t>
      </w:r>
      <w:r>
        <w:rPr>
          <w:rFonts w:hint="eastAsia" w:ascii="仿宋_GB2312" w:eastAsia="仿宋_GB2312"/>
          <w:sz w:val="32"/>
          <w:szCs w:val="32"/>
        </w:rPr>
        <w:t>25</w:t>
      </w:r>
      <w:r>
        <w:rPr>
          <w:rFonts w:ascii="仿宋_GB2312" w:eastAsia="仿宋_GB2312"/>
          <w:sz w:val="32"/>
          <w:szCs w:val="32"/>
        </w:rPr>
        <w:t>万元。受政府委托或通过购买服务形式开展活动并获得财政经费支持的项目除外。</w:t>
      </w:r>
    </w:p>
    <w:p>
      <w:pPr>
        <w:spacing w:line="620" w:lineRule="exact"/>
        <w:ind w:firstLine="640" w:firstLineChars="200"/>
        <w:rPr>
          <w:rFonts w:ascii="仿宋_GB2312" w:eastAsia="仿宋_GB2312"/>
          <w:b/>
          <w:sz w:val="32"/>
          <w:szCs w:val="32"/>
        </w:rPr>
      </w:pPr>
      <w:r>
        <w:rPr>
          <w:rFonts w:hint="eastAsia" w:ascii="黑体" w:hAnsi="黑体" w:eastAsia="黑体"/>
          <w:sz w:val="32"/>
          <w:szCs w:val="32"/>
        </w:rPr>
        <w:t>第七条</w:t>
      </w:r>
      <w:r>
        <w:rPr>
          <w:rFonts w:ascii="仿宋_GB2312" w:eastAsia="仿宋_GB2312"/>
          <w:sz w:val="32"/>
          <w:szCs w:val="32"/>
        </w:rPr>
        <w:t xml:space="preserve">  落实创业贷款扶持政策。对个人创办人力资源服务</w:t>
      </w:r>
      <w:r>
        <w:rPr>
          <w:rFonts w:hint="eastAsia" w:ascii="仿宋_GB2312" w:eastAsia="仿宋_GB2312"/>
          <w:sz w:val="32"/>
          <w:szCs w:val="32"/>
        </w:rPr>
        <w:t>机构</w:t>
      </w:r>
      <w:r>
        <w:rPr>
          <w:rFonts w:ascii="仿宋_GB2312" w:eastAsia="仿宋_GB2312"/>
          <w:sz w:val="32"/>
          <w:szCs w:val="32"/>
        </w:rPr>
        <w:t>并符合相关条件的，给予最高</w:t>
      </w:r>
      <w:r>
        <w:rPr>
          <w:rFonts w:hint="eastAsia" w:ascii="仿宋_GB2312" w:eastAsia="仿宋_GB2312"/>
          <w:sz w:val="32"/>
          <w:szCs w:val="32"/>
        </w:rPr>
        <w:t>20</w:t>
      </w:r>
      <w:r>
        <w:rPr>
          <w:rFonts w:ascii="仿宋_GB2312" w:eastAsia="仿宋_GB2312"/>
          <w:sz w:val="32"/>
          <w:szCs w:val="32"/>
        </w:rPr>
        <w:t>万元的创业担保贷款</w:t>
      </w:r>
      <w:r>
        <w:rPr>
          <w:rFonts w:hint="eastAsia" w:ascii="仿宋_GB2312" w:eastAsia="仿宋_GB2312"/>
          <w:sz w:val="32"/>
          <w:szCs w:val="32"/>
        </w:rPr>
        <w:t>贴息；</w:t>
      </w:r>
      <w:r>
        <w:rPr>
          <w:rFonts w:ascii="仿宋_GB2312" w:eastAsia="仿宋_GB2312"/>
          <w:sz w:val="32"/>
          <w:szCs w:val="32"/>
        </w:rPr>
        <w:t>对小微企业申请创业担保贷款的，给予最高300万元的创业担保贷款扶持，</w:t>
      </w:r>
      <w:r>
        <w:rPr>
          <w:rFonts w:hint="eastAsia" w:ascii="仿宋_GB2312" w:eastAsia="仿宋_GB2312"/>
          <w:sz w:val="32"/>
          <w:szCs w:val="32"/>
        </w:rPr>
        <w:t>贴息比例为50%</w:t>
      </w:r>
      <w:r>
        <w:rPr>
          <w:rFonts w:ascii="仿宋_GB2312" w:eastAsia="仿宋_GB2312"/>
          <w:sz w:val="32"/>
          <w:szCs w:val="32"/>
        </w:rPr>
        <w:t>。</w:t>
      </w:r>
    </w:p>
    <w:p>
      <w:pPr>
        <w:spacing w:line="620" w:lineRule="exact"/>
        <w:ind w:firstLine="640" w:firstLineChars="200"/>
        <w:rPr>
          <w:rFonts w:ascii="仿宋_GB2312" w:eastAsia="仿宋_GB2312"/>
          <w:b/>
          <w:sz w:val="32"/>
          <w:szCs w:val="32"/>
        </w:rPr>
      </w:pPr>
      <w:r>
        <w:rPr>
          <w:rFonts w:hint="eastAsia" w:ascii="黑体" w:hAnsi="黑体" w:eastAsia="黑体"/>
          <w:sz w:val="32"/>
          <w:szCs w:val="32"/>
        </w:rPr>
        <w:t xml:space="preserve">第八条  </w:t>
      </w:r>
      <w:r>
        <w:rPr>
          <w:rFonts w:hint="eastAsia" w:ascii="仿宋_GB2312" w:hAnsi="黑体" w:eastAsia="仿宋_GB2312"/>
          <w:sz w:val="32"/>
          <w:szCs w:val="32"/>
        </w:rPr>
        <w:t>进一步支持高层次人才入园发展。入驻我市人力资源服务产业园区企业，可享受《赤峰市人才引进若干政策（试行）》（赤党发〔</w:t>
      </w:r>
      <w:r>
        <w:rPr>
          <w:rFonts w:ascii="仿宋_GB2312" w:hAnsi="黑体" w:eastAsia="仿宋_GB2312"/>
          <w:sz w:val="32"/>
          <w:szCs w:val="32"/>
        </w:rPr>
        <w:t>2021〕16号</w:t>
      </w:r>
      <w:r>
        <w:rPr>
          <w:rFonts w:hint="eastAsia" w:ascii="仿宋_GB2312" w:hAnsi="黑体" w:eastAsia="仿宋_GB2312"/>
          <w:sz w:val="32"/>
          <w:szCs w:val="32"/>
        </w:rPr>
        <w:t>）。市级财政对在我市人力资源服务产业园区工作的院士、博士及年薪20万元以上的企业高管，以其缴纳的个人所得税市级留成部分为基数，投入等额资金给予奖励。</w:t>
      </w:r>
    </w:p>
    <w:p>
      <w:pPr>
        <w:spacing w:line="620" w:lineRule="exact"/>
        <w:ind w:firstLine="640" w:firstLineChars="200"/>
        <w:rPr>
          <w:rFonts w:ascii="仿宋_GB2312" w:eastAsia="仿宋_GB2312"/>
          <w:b/>
          <w:sz w:val="32"/>
          <w:szCs w:val="32"/>
        </w:rPr>
      </w:pPr>
      <w:r>
        <w:rPr>
          <w:rFonts w:hint="eastAsia" w:ascii="黑体" w:hAnsi="黑体" w:eastAsia="黑体"/>
          <w:sz w:val="32"/>
          <w:szCs w:val="32"/>
        </w:rPr>
        <w:t>第九条</w:t>
      </w:r>
      <w:r>
        <w:rPr>
          <w:rFonts w:hint="eastAsia" w:ascii="仿宋_GB2312" w:eastAsia="仿宋_GB2312"/>
          <w:sz w:val="32"/>
          <w:szCs w:val="32"/>
        </w:rPr>
        <w:t xml:space="preserve">  实施“蒙东人力资源服务领军人才培养计划”。每年在赤峰市本地</w:t>
      </w:r>
      <w:r>
        <w:rPr>
          <w:rFonts w:ascii="仿宋_GB2312" w:eastAsia="仿宋_GB2312"/>
          <w:sz w:val="32"/>
          <w:szCs w:val="32"/>
        </w:rPr>
        <w:t>人力资源服务</w:t>
      </w:r>
      <w:r>
        <w:rPr>
          <w:rFonts w:hint="eastAsia" w:ascii="仿宋_GB2312" w:eastAsia="仿宋_GB2312"/>
          <w:sz w:val="32"/>
          <w:szCs w:val="32"/>
        </w:rPr>
        <w:t>机构中选拔</w:t>
      </w:r>
      <w:r>
        <w:rPr>
          <w:rFonts w:ascii="仿宋_GB2312" w:eastAsia="仿宋_GB2312"/>
          <w:sz w:val="32"/>
          <w:szCs w:val="32"/>
        </w:rPr>
        <w:t>30名左右的中高级人才，到国内著名</w:t>
      </w:r>
      <w:r>
        <w:rPr>
          <w:rFonts w:hint="eastAsia" w:ascii="仿宋_GB2312" w:eastAsia="仿宋_GB2312"/>
          <w:sz w:val="32"/>
          <w:szCs w:val="32"/>
        </w:rPr>
        <w:t>高等院校、研究机构</w:t>
      </w:r>
      <w:r>
        <w:rPr>
          <w:rFonts w:ascii="仿宋_GB2312" w:eastAsia="仿宋_GB2312"/>
          <w:sz w:val="32"/>
          <w:szCs w:val="32"/>
        </w:rPr>
        <w:t>、人力资源服务企业学习培训、深造提升。</w:t>
      </w:r>
    </w:p>
    <w:p>
      <w:pPr>
        <w:spacing w:line="620" w:lineRule="exact"/>
        <w:ind w:firstLine="640" w:firstLineChars="200"/>
        <w:rPr>
          <w:rFonts w:ascii="仿宋_GB2312" w:eastAsia="仿宋_GB2312"/>
          <w:b/>
          <w:sz w:val="32"/>
          <w:szCs w:val="32"/>
        </w:rPr>
      </w:pPr>
      <w:r>
        <w:rPr>
          <w:rFonts w:hint="eastAsia" w:ascii="黑体" w:hAnsi="黑体" w:eastAsia="黑体"/>
          <w:sz w:val="32"/>
          <w:szCs w:val="32"/>
        </w:rPr>
        <w:t>第十条</w:t>
      </w:r>
      <w:r>
        <w:rPr>
          <w:rFonts w:hint="eastAsia" w:ascii="仿宋_GB2312" w:eastAsia="仿宋_GB2312"/>
          <w:sz w:val="32"/>
          <w:szCs w:val="32"/>
        </w:rPr>
        <w:t xml:space="preserve">  开展“人力资源服务业优质机构”评选活动。每年拿出100万元奖励资金，按照人力资源服务机构服务信用水平、服务能力和服务绩效等指标，在全市人力资源服务机构中评选出</w:t>
      </w:r>
      <w:r>
        <w:rPr>
          <w:rFonts w:ascii="仿宋_GB2312" w:eastAsia="仿宋_GB2312"/>
          <w:sz w:val="32"/>
          <w:szCs w:val="32"/>
        </w:rPr>
        <w:t>10家优质机构，</w:t>
      </w:r>
      <w:r>
        <w:rPr>
          <w:rFonts w:hint="eastAsia" w:ascii="仿宋_GB2312" w:eastAsia="仿宋_GB2312"/>
          <w:sz w:val="32"/>
          <w:szCs w:val="32"/>
        </w:rPr>
        <w:t>分等次给予</w:t>
      </w:r>
      <w:r>
        <w:rPr>
          <w:rFonts w:ascii="仿宋_GB2312" w:eastAsia="仿宋_GB2312"/>
          <w:sz w:val="32"/>
          <w:szCs w:val="32"/>
        </w:rPr>
        <w:t>一次性</w:t>
      </w:r>
      <w:r>
        <w:rPr>
          <w:rFonts w:hint="eastAsia" w:ascii="仿宋_GB2312" w:eastAsia="仿宋_GB2312"/>
          <w:sz w:val="32"/>
          <w:szCs w:val="32"/>
        </w:rPr>
        <w:t>现金奖励</w:t>
      </w:r>
      <w:r>
        <w:rPr>
          <w:rFonts w:ascii="仿宋_GB2312" w:eastAsia="仿宋_GB2312"/>
          <w:sz w:val="32"/>
          <w:szCs w:val="32"/>
        </w:rPr>
        <w:t>。</w:t>
      </w:r>
    </w:p>
    <w:p>
      <w:pPr>
        <w:spacing w:line="620" w:lineRule="exact"/>
        <w:ind w:firstLine="640" w:firstLineChars="200"/>
        <w:rPr>
          <w:rFonts w:ascii="仿宋_GB2312" w:eastAsia="仿宋_GB2312"/>
          <w:b/>
          <w:sz w:val="32"/>
          <w:szCs w:val="32"/>
        </w:rPr>
      </w:pPr>
      <w:r>
        <w:rPr>
          <w:rFonts w:hint="eastAsia" w:ascii="仿宋_GB2312" w:eastAsia="仿宋_GB2312"/>
          <w:sz w:val="32"/>
          <w:szCs w:val="32"/>
        </w:rPr>
        <w:t>符合本政策规定的同一项目、同一事项，已享受赤峰市“一事一议”政策或同时符合赤峰市其他扶持政策（含上级部门要求市级配套或者负担资金的政策）的，按照“就高不重复”的原则予以支持，另有规定的除外。</w:t>
      </w:r>
    </w:p>
    <w:p>
      <w:pPr>
        <w:spacing w:line="620" w:lineRule="exact"/>
        <w:ind w:firstLine="640" w:firstLineChars="200"/>
        <w:rPr>
          <w:rFonts w:ascii="仿宋_GB2312" w:eastAsia="仿宋_GB2312"/>
          <w:b/>
          <w:sz w:val="32"/>
          <w:szCs w:val="32"/>
        </w:rPr>
      </w:pPr>
      <w:r>
        <w:rPr>
          <w:rFonts w:hint="eastAsia" w:ascii="仿宋_GB2312" w:eastAsia="仿宋_GB2312"/>
          <w:sz w:val="32"/>
          <w:szCs w:val="32"/>
        </w:rPr>
        <w:t>各旗县区可参照此政策，结合实际制定出台推动人力资源服务业高质量发展的具体优惠政策。</w:t>
      </w:r>
    </w:p>
    <w:p>
      <w:pPr>
        <w:spacing w:line="620" w:lineRule="exact"/>
        <w:ind w:firstLine="640" w:firstLineChars="200"/>
        <w:rPr>
          <w:rFonts w:ascii="仿宋_GB2312" w:eastAsia="仿宋_GB2312"/>
          <w:b/>
          <w:sz w:val="32"/>
          <w:szCs w:val="32"/>
        </w:rPr>
      </w:pPr>
      <w:r>
        <w:rPr>
          <w:rFonts w:hint="eastAsia" w:ascii="仿宋_GB2312" w:eastAsia="仿宋_GB2312"/>
          <w:sz w:val="32"/>
          <w:szCs w:val="32"/>
        </w:rPr>
        <w:t>本政策自印发之日起实施，有效期至</w:t>
      </w:r>
      <w:r>
        <w:rPr>
          <w:rFonts w:ascii="仿宋_GB2312" w:eastAsia="仿宋_GB2312"/>
          <w:sz w:val="32"/>
          <w:szCs w:val="32"/>
        </w:rPr>
        <w:t>2025年12月31日，由赤峰市人力资源和社会保障部门负责解释</w:t>
      </w:r>
      <w:r>
        <w:rPr>
          <w:rFonts w:hint="eastAsia" w:ascii="仿宋_GB2312" w:eastAsia="仿宋_GB2312"/>
          <w:sz w:val="32"/>
          <w:szCs w:val="32"/>
        </w:rPr>
        <w:t>并制定具体实施细则</w:t>
      </w:r>
      <w:r>
        <w:rPr>
          <w:rFonts w:ascii="仿宋_GB2312" w:eastAsia="仿宋_GB2312"/>
          <w:sz w:val="32"/>
          <w:szCs w:val="32"/>
        </w:rPr>
        <w:t>。</w:t>
      </w:r>
    </w:p>
    <w:p>
      <w:pPr>
        <w:ind w:firstLine="640" w:firstLineChars="200"/>
        <w:jc w:val="center"/>
        <w:rPr>
          <w:rFonts w:ascii="方正小标宋简体" w:eastAsia="方正小标宋简体"/>
          <w:sz w:val="32"/>
          <w:szCs w:val="32"/>
        </w:rPr>
      </w:pPr>
    </w:p>
    <w:p>
      <w:pPr>
        <w:spacing w:line="560" w:lineRule="exact"/>
        <w:jc w:val="center"/>
        <w:rPr>
          <w:rFonts w:ascii="Times New Roman" w:hAnsi="Times New Roman" w:eastAsia="方正小标宋简体"/>
          <w:sz w:val="44"/>
          <w:szCs w:val="44"/>
        </w:rPr>
      </w:pPr>
    </w:p>
    <w:p>
      <w:pPr>
        <w:spacing w:line="560" w:lineRule="exact"/>
        <w:jc w:val="center"/>
        <w:rPr>
          <w:rFonts w:ascii="Times New Roman" w:hAnsi="Times New Roman" w:eastAsia="方正小标宋简体"/>
          <w:sz w:val="44"/>
          <w:szCs w:val="44"/>
        </w:rPr>
      </w:pPr>
    </w:p>
    <w:p>
      <w:pPr>
        <w:spacing w:line="560" w:lineRule="exact"/>
        <w:jc w:val="center"/>
        <w:rPr>
          <w:rFonts w:ascii="Times New Roman" w:hAnsi="Times New Roman" w:eastAsia="方正小标宋简体"/>
          <w:sz w:val="44"/>
          <w:szCs w:val="44"/>
        </w:rPr>
      </w:pPr>
    </w:p>
    <w:p>
      <w:pPr>
        <w:spacing w:line="560" w:lineRule="exact"/>
        <w:jc w:val="center"/>
        <w:rPr>
          <w:rFonts w:ascii="Times New Roman" w:hAnsi="Times New Roman" w:eastAsia="方正小标宋简体"/>
          <w:sz w:val="44"/>
          <w:szCs w:val="44"/>
        </w:rPr>
      </w:pPr>
    </w:p>
    <w:p>
      <w:pPr>
        <w:spacing w:line="560" w:lineRule="exact"/>
        <w:jc w:val="center"/>
        <w:rPr>
          <w:rFonts w:ascii="Times New Roman" w:hAnsi="Times New Roman" w:eastAsia="方正小标宋简体"/>
          <w:sz w:val="44"/>
          <w:szCs w:val="44"/>
        </w:rPr>
      </w:pPr>
    </w:p>
    <w:p>
      <w:pPr>
        <w:spacing w:line="560" w:lineRule="exact"/>
        <w:jc w:val="center"/>
        <w:rPr>
          <w:rFonts w:ascii="Times New Roman" w:hAnsi="Times New Roman" w:eastAsia="方正小标宋简体"/>
          <w:sz w:val="44"/>
          <w:szCs w:val="44"/>
        </w:rPr>
      </w:pPr>
    </w:p>
    <w:p>
      <w:pPr>
        <w:spacing w:line="560" w:lineRule="exact"/>
        <w:jc w:val="center"/>
        <w:rPr>
          <w:rFonts w:ascii="Times New Roman" w:hAnsi="Times New Roman" w:eastAsia="方正小标宋简体"/>
          <w:sz w:val="44"/>
          <w:szCs w:val="44"/>
        </w:rPr>
      </w:pPr>
    </w:p>
    <w:p>
      <w:pPr>
        <w:spacing w:line="560" w:lineRule="exact"/>
        <w:jc w:val="center"/>
        <w:rPr>
          <w:rFonts w:ascii="Times New Roman" w:hAnsi="Times New Roman" w:eastAsia="方正小标宋简体"/>
          <w:sz w:val="44"/>
          <w:szCs w:val="44"/>
        </w:rPr>
      </w:pPr>
    </w:p>
    <w:p>
      <w:pPr>
        <w:spacing w:line="560" w:lineRule="exact"/>
        <w:jc w:val="center"/>
        <w:rPr>
          <w:rFonts w:ascii="Times New Roman" w:hAnsi="Times New Roman" w:eastAsia="方正小标宋简体"/>
          <w:sz w:val="44"/>
          <w:szCs w:val="44"/>
        </w:rPr>
      </w:pPr>
    </w:p>
    <w:p>
      <w:pPr>
        <w:spacing w:line="560" w:lineRule="exact"/>
        <w:jc w:val="center"/>
        <w:rPr>
          <w:rFonts w:ascii="Times New Roman" w:hAnsi="Times New Roman" w:eastAsia="方正小标宋简体"/>
          <w:sz w:val="44"/>
          <w:szCs w:val="44"/>
        </w:rPr>
      </w:pPr>
    </w:p>
    <w:p>
      <w:pPr>
        <w:spacing w:line="560" w:lineRule="exact"/>
        <w:jc w:val="center"/>
        <w:rPr>
          <w:rFonts w:ascii="Times New Roman" w:hAnsi="Times New Roman" w:eastAsia="方正小标宋简体"/>
          <w:sz w:val="44"/>
          <w:szCs w:val="44"/>
        </w:rPr>
      </w:pPr>
    </w:p>
    <w:p>
      <w:pPr>
        <w:spacing w:line="560" w:lineRule="exact"/>
        <w:jc w:val="center"/>
        <w:rPr>
          <w:rFonts w:ascii="Times New Roman" w:hAnsi="Times New Roman" w:eastAsia="方正小标宋简体"/>
          <w:sz w:val="44"/>
          <w:szCs w:val="44"/>
        </w:rPr>
      </w:pPr>
    </w:p>
    <w:p>
      <w:pPr>
        <w:spacing w:line="560" w:lineRule="exact"/>
        <w:jc w:val="center"/>
        <w:rPr>
          <w:rFonts w:ascii="Times New Roman" w:hAnsi="Times New Roman" w:eastAsia="方正小标宋简体"/>
          <w:sz w:val="44"/>
          <w:szCs w:val="44"/>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hint="eastAsia" w:eastAsia="仿宋_GB2312"/>
          <w:sz w:val="32"/>
        </w:rPr>
      </w:pPr>
    </w:p>
    <w:p>
      <w:pPr>
        <w:ind w:firstLine="600"/>
        <w:rPr>
          <w:rFonts w:eastAsia="仿宋_GB2312"/>
          <w:sz w:val="32"/>
        </w:rPr>
      </w:pPr>
    </w:p>
    <w:p>
      <w:pPr>
        <w:rPr>
          <w:rFonts w:hint="eastAsia"/>
          <w:u w:val="single"/>
          <w:lang w:bidi="ar"/>
        </w:rPr>
      </w:pPr>
    </w:p>
    <w:p>
      <w:pPr>
        <w:adjustRightInd w:val="0"/>
        <w:snapToGrid w:val="0"/>
        <w:spacing w:line="580" w:lineRule="exact"/>
        <w:rPr>
          <w:rFonts w:ascii="仿宋_GB2312" w:hAnsi="仿宋" w:eastAsia="仿宋_GB2312"/>
          <w:sz w:val="28"/>
          <w:szCs w:val="28"/>
        </w:rPr>
      </w:pPr>
      <w:r>
        <mc:AlternateContent>
          <mc:Choice Requires="wps">
            <w:drawing>
              <wp:anchor distT="0" distB="0" distL="114300" distR="114300" simplePos="0" relativeHeight="251663360" behindDoc="0" locked="0" layoutInCell="1" allowOverlap="1">
                <wp:simplePos x="0" y="0"/>
                <wp:positionH relativeFrom="column">
                  <wp:posOffset>-635</wp:posOffset>
                </wp:positionH>
                <wp:positionV relativeFrom="paragraph">
                  <wp:posOffset>19050</wp:posOffset>
                </wp:positionV>
                <wp:extent cx="3620770" cy="0"/>
                <wp:effectExtent l="0" t="0" r="0" b="0"/>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5657850" cy="635"/>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0.05pt;margin-top:1.5pt;height:0pt;width:285.1pt;z-index:251663360;mso-width-relative:page;mso-height-relative:page;" filled="f" stroked="t" coordsize="21600,21600" o:gfxdata="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ja8Se0wAAAAUBAAAPAAAAAAAAAAEAIAAAACIAAABkcnMvZG93bnJldi54bWxQ&#10;SwECFAAUAAAACACHTuJAh6PaP/wBAADOAwAADgAAAAAAAAABACAAAAAiAQAAZHJzL2Uyb0RvYy54&#10;bWxQSwUGAAAAAAYABgBZAQAAkAUAAAAA&#10;">
                <v:fill on="f" focussize="0,0"/>
                <v:stroke color="#000000" joinstyle="round"/>
                <v:imagedata o:title=""/>
                <o:lock v:ext="edit" aspectratio="f"/>
              </v:shape>
            </w:pict>
          </mc:Fallback>
        </mc:AlternateContent>
      </w:r>
      <w:r>
        <w:rPr>
          <w:rFonts w:hint="eastAsia" w:ascii="仿宋_GB2312" w:eastAsia="仿宋_GB2312"/>
          <w:sz w:val="28"/>
          <w:szCs w:val="28"/>
          <w:lang w:bidi="ar"/>
        </w:rPr>
        <w:t xml:space="preserve"> 抄送：</w:t>
      </w:r>
      <w:r>
        <w:rPr>
          <w:rFonts w:hint="eastAsia" w:ascii="仿宋_GB2312" w:hAnsi="仿宋" w:eastAsia="仿宋_GB2312"/>
          <w:sz w:val="28"/>
          <w:szCs w:val="28"/>
        </w:rPr>
        <w:t>市委各部门，赤峰军分区，武警赤峰支队。</w:t>
      </w:r>
    </w:p>
    <w:p>
      <w:pPr>
        <w:adjustRightInd w:val="0"/>
        <w:snapToGrid w:val="0"/>
        <w:spacing w:line="580" w:lineRule="exact"/>
        <w:rPr>
          <w:rFonts w:ascii="仿宋_GB2312" w:hAnsi="仿宋" w:eastAsia="仿宋_GB2312"/>
          <w:spacing w:val="-8"/>
          <w:sz w:val="28"/>
          <w:szCs w:val="28"/>
        </w:rPr>
      </w:pPr>
      <w:r>
        <w:rPr>
          <w:rFonts w:hint="eastAsia" w:ascii="仿宋_GB2312" w:hAnsi="仿宋" w:eastAsia="仿宋_GB2312"/>
          <w:spacing w:val="-8"/>
          <w:sz w:val="28"/>
          <w:szCs w:val="28"/>
        </w:rPr>
        <w:t xml:space="preserve">        市人大常委会办公室、政协办公室，市监委，市中级人民法院，       </w:t>
      </w:r>
    </w:p>
    <w:p>
      <w:pPr>
        <w:adjustRightInd w:val="0"/>
        <w:snapToGrid w:val="0"/>
        <w:spacing w:line="580" w:lineRule="exact"/>
        <w:rPr>
          <w:rFonts w:ascii="仿宋_GB2312" w:hAnsi="仿宋" w:eastAsia="仿宋_GB2312"/>
          <w:spacing w:val="-8"/>
          <w:sz w:val="28"/>
          <w:szCs w:val="28"/>
        </w:rPr>
      </w:pPr>
      <w:r>
        <w:rPr>
          <w:rFonts w:hint="eastAsia" w:ascii="仿宋_GB2312" w:hAnsi="仿宋" w:eastAsia="仿宋_GB2312"/>
          <w:spacing w:val="-8"/>
          <w:sz w:val="28"/>
          <w:szCs w:val="28"/>
        </w:rPr>
        <w:t xml:space="preserve">        </w:t>
      </w:r>
      <w:r>
        <w:rPr>
          <w:rFonts w:hint="eastAsia" w:ascii="仿宋_GB2312" w:hAnsi="仿宋" w:eastAsia="仿宋_GB2312"/>
          <w:sz w:val="28"/>
          <w:szCs w:val="28"/>
        </w:rPr>
        <w:t>市人民检察院。</w:t>
      </w:r>
    </w:p>
    <w:p>
      <w:pPr>
        <w:ind w:right="420" w:firstLine="980" w:firstLineChars="350"/>
        <w:jc w:val="left"/>
        <w:rPr>
          <w:rFonts w:ascii="仿宋_GB2312" w:eastAsia="仿宋_GB2312"/>
          <w:sz w:val="32"/>
          <w:szCs w:val="32"/>
        </w:rPr>
      </w:pPr>
      <w:r>
        <w:rPr>
          <w:rFonts w:hint="eastAsia" w:ascii="仿宋_GB2312" w:hAnsi="仿宋" w:eastAsia="仿宋_GB2312"/>
          <w:sz w:val="28"/>
          <w:szCs w:val="28"/>
        </w:rPr>
        <w:t>各人民团体。</w:t>
      </w:r>
    </w:p>
    <w:p>
      <w:pPr>
        <w:spacing w:line="560" w:lineRule="exact"/>
        <w:rPr>
          <w:rFonts w:hint="eastAsia" w:ascii="Times New Roman" w:hAnsi="Times New Roman"/>
        </w:rPr>
      </w:pPr>
      <w:r>
        <w:rPr>
          <w:rFonts w:hint="eastAsia" w:ascii="仿宋_GB2312" w:eastAsia="仿宋_GB2312"/>
          <w:sz w:val="28"/>
          <w:szCs w:val="28"/>
          <w:lang w:bidi="ar"/>
        </w:rPr>
        <w:t xml:space="preserve">  </w:t>
      </w:r>
      <w: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13335</wp:posOffset>
                </wp:positionV>
                <wp:extent cx="3620770" cy="0"/>
                <wp:effectExtent l="0" t="0" r="0" b="0"/>
                <wp:wrapNone/>
                <wp:docPr id="5" name="直接箭头连接符 5"/>
                <wp:cNvGraphicFramePr/>
                <a:graphic xmlns:a="http://schemas.openxmlformats.org/drawingml/2006/main">
                  <a:graphicData uri="http://schemas.microsoft.com/office/word/2010/wordprocessingShape">
                    <wps:wsp>
                      <wps:cNvCnPr>
                        <a:cxnSpLocks noChangeShapeType="1"/>
                      </wps:cNvCnPr>
                      <wps:spPr bwMode="auto">
                        <a:xfrm>
                          <a:off x="0" y="0"/>
                          <a:ext cx="5657850" cy="635"/>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0.05pt;margin-top:1.05pt;height:0pt;width:285.1pt;z-index:251662336;mso-width-relative:page;mso-height-relative:page;" filled="f" stroked="t" coordsize="21600,21600" o:gfxdata="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BOvdtMAAAAFAQAADwAAAAAAAAABACAAAAAiAAAAZHJzL2Rvd25yZXYueG1s&#10;UEsBAhQAFAAAAAgAh07iQICW2f/9AQAAzgMAAA4AAAAAAAAAAQAgAAAAIgEAAGRycy9lMm9Eb2Mu&#10;eG1sUEsFBgAAAAAGAAYAWQEAAJE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384810</wp:posOffset>
                </wp:positionV>
                <wp:extent cx="3620770" cy="0"/>
                <wp:effectExtent l="0" t="0" r="0" b="0"/>
                <wp:wrapNone/>
                <wp:docPr id="2" name="直接箭头连接符 2"/>
                <wp:cNvGraphicFramePr/>
                <a:graphic xmlns:a="http://schemas.openxmlformats.org/drawingml/2006/main">
                  <a:graphicData uri="http://schemas.microsoft.com/office/word/2010/wordprocessingShape">
                    <wps:wsp>
                      <wps:cNvCnPr>
                        <a:cxnSpLocks noChangeShapeType="1"/>
                      </wps:cNvCnPr>
                      <wps:spPr bwMode="auto">
                        <a:xfrm>
                          <a:off x="0" y="0"/>
                          <a:ext cx="5657850" cy="635"/>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0.05pt;margin-top:30.3pt;height:0pt;width:285.1pt;z-index:251661312;mso-width-relative:page;mso-height-relative:page;" filled="f" stroked="t" coordsize="21600,21600" o:gfxdata="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FALXD0wAAAAcBAAAPAAAAAAAAAAEAIAAAACIAAABkcnMvZG93bnJldi54bWxQ&#10;SwECFAAUAAAACACHTuJA5lSyRPwBAADOAwAADgAAAAAAAAABACAAAAAiAQAAZHJzL2Uyb0RvYy54&#10;bWxQSwUGAAAAAAYABgBZAQAAkAUAAAAA&#10;">
                <v:fill on="f" focussize="0,0"/>
                <v:stroke color="#000000" joinstyle="round"/>
                <v:imagedata o:title=""/>
                <o:lock v:ext="edit" aspectratio="f"/>
              </v:shape>
            </w:pict>
          </mc:Fallback>
        </mc:AlternateContent>
      </w:r>
      <w:r>
        <w:rPr>
          <w:rFonts w:hint="eastAsia" w:ascii="仿宋_GB2312" w:eastAsia="仿宋_GB2312"/>
          <w:sz w:val="28"/>
          <w:szCs w:val="28"/>
          <w:lang w:bidi="ar"/>
        </w:rPr>
        <w:t xml:space="preserve">赤峰市人民政府办公室秘书二科     </w:t>
      </w:r>
      <w:r>
        <w:rPr>
          <w:rFonts w:ascii="仿宋_GB2312" w:eastAsia="仿宋_GB2312"/>
          <w:sz w:val="28"/>
          <w:szCs w:val="28"/>
          <w:lang w:bidi="ar"/>
        </w:rPr>
        <w:t xml:space="preserve">  </w:t>
      </w:r>
      <w:r>
        <w:rPr>
          <w:rFonts w:hint="eastAsia" w:ascii="仿宋_GB2312" w:eastAsia="仿宋_GB2312"/>
          <w:sz w:val="28"/>
          <w:szCs w:val="28"/>
          <w:lang w:bidi="ar"/>
        </w:rPr>
        <w:t xml:space="preserve"> </w:t>
      </w:r>
      <w:r>
        <w:rPr>
          <w:rFonts w:ascii="仿宋_GB2312" w:eastAsia="仿宋_GB2312"/>
          <w:sz w:val="28"/>
          <w:szCs w:val="28"/>
          <w:lang w:bidi="ar"/>
        </w:rPr>
        <w:t xml:space="preserve">   </w:t>
      </w:r>
      <w:bookmarkStart w:id="2" w:name="来文成文日期"/>
      <w:bookmarkEnd w:id="2"/>
      <w:r>
        <w:rPr>
          <w:rFonts w:hint="eastAsia" w:ascii="仿宋_GB2312" w:eastAsia="仿宋_GB2312"/>
          <w:sz w:val="28"/>
          <w:szCs w:val="28"/>
          <w:lang w:bidi="ar"/>
        </w:rPr>
        <w:t>2021年12月</w:t>
      </w:r>
      <w:r>
        <w:rPr>
          <w:rFonts w:ascii="仿宋_GB2312" w:eastAsia="仿宋_GB2312"/>
          <w:sz w:val="28"/>
          <w:szCs w:val="28"/>
          <w:lang w:bidi="ar"/>
        </w:rPr>
        <w:t>29</w:t>
      </w:r>
      <w:r>
        <w:rPr>
          <w:rFonts w:hint="eastAsia" w:ascii="仿宋_GB2312" w:eastAsia="仿宋_GB2312"/>
          <w:sz w:val="28"/>
          <w:szCs w:val="28"/>
          <w:lang w:bidi="ar"/>
        </w:rPr>
        <w:t>日印发</w:t>
      </w:r>
    </w:p>
    <w:p/>
    <w:sectPr>
      <w:footerReference r:id="rId3" w:type="default"/>
      <w:footerReference r:id="rId4"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1</w:t>
    </w:r>
    <w:r>
      <w:rPr>
        <w:rFonts w:hint="eastAsia" w:ascii="仿宋_GB2312" w:eastAsia="仿宋_GB2312"/>
        <w:sz w:val="28"/>
        <w:szCs w:val="28"/>
      </w:rPr>
      <w:fldChar w:fldCharType="end"/>
    </w:r>
    <w:r>
      <w:rPr>
        <w:rFonts w:hint="eastAsia" w:ascii="仿宋_GB2312" w:eastAsia="仿宋_GB2312"/>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2</w:t>
    </w:r>
    <w:r>
      <w:rPr>
        <w:rFonts w:hint="eastAsia" w:ascii="仿宋_GB2312" w:eastAsia="仿宋_GB2312"/>
        <w:sz w:val="28"/>
        <w:szCs w:val="28"/>
      </w:rPr>
      <w:fldChar w:fldCharType="end"/>
    </w:r>
    <w:r>
      <w:rPr>
        <w:rFonts w:hint="eastAsia" w:ascii="仿宋_GB2312" w:eastAsia="仿宋_GB2312"/>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D62CCC"/>
    <w:rsid w:val="566B7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2022-01-25T10:20:40Z</dcterms:created>
  <dc:creator>Administrator</dc:creator>
  <cp:lastModifiedBy>演示人</cp:lastModifiedBy>
  <dcterms:modified xsi:type="dcterms:W3CDTF">2022-01-25T10:21:11Z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ECE99DCBF1AB40E4A99C8116336B0BFE</vt:lpwstr>
  </property>
</Properties>
</file>