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附件：个人网厅住房公积金贷款提前还款操作手册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个人网厅住房公积金贷款提前还款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操作手册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选择“贷款”-“提前还款”，点击“下一步”进入提前还款功能。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61610" cy="3394075"/>
            <wp:effectExtent l="0" t="0" r="15240" b="1587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仔细核对身份信息，并填写手机号码，选择贷款申请编号，点击“下一步”。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73675" cy="2548890"/>
            <wp:effectExtent l="0" t="0" r="3175" b="38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选择“提前还款方式”，“部分还款”需要输入还款金额。“提前结清”不需要输入还款金额。点击“发起扣款”，使用支付宝扫描二维码，提交还款申请，系统从签约还款卡中扣划还款资金。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73675" cy="1757680"/>
            <wp:effectExtent l="0" t="0" r="3175" b="139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业务提交后，会自动跳转到还款查询页面，在此页面查看还款进度。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扣款失败的，请及时查看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还款卡交易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流水，如果账户资金不足，请存足后，重新办理。如果账户资金已经扣划，请联系页面上的电话，咨询处理。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（若不小心关闭此页面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，也可以从“业务查询”——“提前还款进度查询”，再次进入此页面。）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67325" cy="2768600"/>
            <wp:effectExtent l="0" t="0" r="9525" b="1270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.扣款成功后，从贷款信息页面查看自己贷款的本金余额和还款流水。 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73675" cy="3222625"/>
            <wp:effectExtent l="0" t="0" r="3175" b="1587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2098" w:left="1531" w:header="851" w:footer="992" w:gutter="0"/>
      <w:pgNumType w:fmt="decimal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314F"/>
    <w:multiLevelType w:val="singleLevel"/>
    <w:tmpl w:val="2A0C31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44A6C"/>
    <w:rsid w:val="162B67E9"/>
    <w:rsid w:val="1ABF3E9D"/>
    <w:rsid w:val="23982DD7"/>
    <w:rsid w:val="2C7F1F3D"/>
    <w:rsid w:val="2E744051"/>
    <w:rsid w:val="31440868"/>
    <w:rsid w:val="47B44A6C"/>
    <w:rsid w:val="4D7E42F9"/>
    <w:rsid w:val="515E2388"/>
    <w:rsid w:val="52EE52F9"/>
    <w:rsid w:val="7C62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Lines="0" w:beforeAutospacing="1" w:after="120" w:afterLines="0"/>
    </w:pPr>
    <w:rPr>
      <w:rFonts w:cs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淄博市住房公积金管理中心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2021-08-05T09:30:00Z</dcterms:created>
  <dc:creator>方芳</dc:creator>
  <cp:lastModifiedBy>张艳</cp:lastModifiedBy>
  <cp:lastPrinted>2021-08-19T02:25:19Z</cp:lastPrinted>
  <dcterms:modified xsi:type="dcterms:W3CDTF">2021-08-19T02:45:06Z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