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2"/>
          <w:szCs w:val="4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2"/>
          <w:szCs w:val="42"/>
        </w:rPr>
        <w:t>2023年全市全民参保扩面目标任务分解表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黑体" w:cs="CESI黑体-GB13000"/>
          <w:b w:val="0"/>
          <w:bCs w:val="0"/>
          <w:color w:val="auto"/>
          <w:sz w:val="32"/>
          <w:szCs w:val="32"/>
        </w:rPr>
      </w:pPr>
    </w:p>
    <w:tbl>
      <w:tblPr>
        <w:tblStyle w:val="5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739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</w:rPr>
              <w:t>所属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区域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</w:rPr>
              <w:t>参保扩面目标任务数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包头市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46000人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市本级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7100人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昆  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7000人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青山区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7000人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东河区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5600人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九原区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石拐区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1150人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白云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矿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土右旗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3800人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达茂旗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固阳县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2300人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稀土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6300人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仿宋_GB2312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7C3D"/>
    <w:rsid w:val="67987C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2023-05-16T02:51:00Z</dcterms:created>
  <dc:creator>Administrator</dc:creator>
  <cp:lastModifiedBy>Administrator</cp:lastModifiedBy>
  <dcterms:modified xsi:type="dcterms:W3CDTF">2023-05-16T02:51:54Z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