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line="560" w:lineRule="exact"/>
        <w:rPr>
          <w:rFonts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附件1</w:t>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r>
        <w:rPr>
          <w:rFonts w:hint="eastAsia" w:ascii="黑体" w:hAnsi="黑体" w:eastAsia="黑体" w:cs="黑体"/>
          <w:bCs/>
          <w:color w:val="000000"/>
          <w:sz w:val="32"/>
          <w:szCs w:val="32"/>
          <w:shd w:val="clear" w:color="auto" w:fill="FFFFFF"/>
        </w:rPr>
        <w:tab/>
      </w:r>
    </w:p>
    <w:p>
      <w:pPr>
        <w:pStyle w:val="5"/>
        <w:widowControl/>
        <w:shd w:val="clear" w:color="auto" w:fill="FFFFFF"/>
        <w:spacing w:line="560" w:lineRule="exact"/>
        <w:jc w:val="center"/>
        <w:rPr>
          <w:rFonts w:ascii="方正小标宋简体" w:hAnsi="黑体" w:eastAsia="方正小标宋简体" w:cs="黑体"/>
          <w:bCs/>
          <w:color w:val="000000"/>
          <w:sz w:val="44"/>
          <w:szCs w:val="44"/>
          <w:shd w:val="clear" w:color="auto" w:fill="FFFFFF"/>
        </w:rPr>
      </w:pPr>
      <w:r>
        <w:rPr>
          <w:rFonts w:hint="eastAsia" w:ascii="方正小标宋简体" w:hAnsi="黑体" w:eastAsia="方正小标宋简体" w:cs="黑体"/>
          <w:bCs/>
          <w:color w:val="000000"/>
          <w:sz w:val="44"/>
          <w:szCs w:val="44"/>
          <w:shd w:val="clear" w:color="auto" w:fill="FFFFFF"/>
        </w:rPr>
        <w:t>广西医疗服务项目价格表（口腔种植类）（试行）</w:t>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说明：</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1.本表格所指植入体为种植体、基台等植入牙床、包裹在牙龈内的医用耗材，置入体是指种植牙冠、义齿等安置在口腔内、暴露在牙龈之外，不与人体组织直接结合的医用耗材。</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2.本表格所称“项目内涵”，指制定项目价格应涵盖的各类资源消耗，用于确定计价单元的边界，不应作为临床技术标准理解，不是医疗服务实际操作方式、路径、步骤、程序的强制性要求。医疗机构提供服务时，内涵中个别要素因患者个体差异可以不发生的，应允许医疗机构收费适用相应的项目和价格政策，另有政策规定的除外。</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3.本表格所称“基本物耗”指原则上限于不应或不必要与医疗服务项目分割的易耗品，包括但不限于各类消杀用品、储存用品、清洁用品、个人防护用品、垃圾处理用品、试戴材料、铸造包埋材、义齿清洁材料、牙科分离剂、模型材料、蜡型材料、车针、排龈材料、菌斑指示剂、义齿稳固剂、印模材料、咬合记录材料、咬合检查材料、研磨抛光材料、冲洗液、润滑剂、灌洗液、棉球、棉签、纱布（垫）、护垫、衬垫、手术巾（单）、治疗巾（单）、治疗护理盘(包）、注射器、压舌板、滑石粉、防渗漏垫、标签、操作器具、冲洗工具。基本物耗成本计入项目价格，不另行收费。除基本物耗以外的其他耗材，按照实际采购价格零差率销售。</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4.即刻种植指拔牙或牙齿缺失当日完成种植体植入的情况；即刻修复指种植体植入后1周以内完成牙冠置入的情形。</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5.医疗机构应对本院施治的口腔内牙齿缺失植入体、置入体进行保质保修，保修范围内出现损坏，医疗机构应免费进行修理、再制作，不得向患者收费。</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6.本表格所列的口腔医学3D项目，是指为口腔种植手术方案设计、导航定位等提供辅助的服务。医疗机构自行制作牙冠所进行的3D扫描设计、打印切削，以及翻模精修、烧结上釉、上色调改等具体操作，作为成本要素计入种植牙牙冠价格，不再将上述牙冠加工制作的具体操作步骤作为医疗服务价格项目向患者收费。</w:t>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r>
        <w:rPr>
          <w:rFonts w:hint="eastAsia" w:ascii="仿宋_GB2312" w:hAnsi="黑体" w:eastAsia="仿宋_GB2312" w:cs="黑体"/>
          <w:bCs/>
          <w:color w:val="000000"/>
          <w:shd w:val="clear" w:color="auto" w:fill="FFFFFF"/>
        </w:rPr>
        <w:tab/>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7.政策衔接：口腔种植是一个周期较长的治疗过程，为做好政策衔接，在本通知出台前尚未完成全过程口腔种植治疗的，按口腔种植治疗完成阶段执行价格政策，具体如下：</w:t>
      </w:r>
    </w:p>
    <w:p>
      <w:pPr>
        <w:pStyle w:val="5"/>
        <w:widowControl/>
        <w:shd w:val="clear" w:color="auto" w:fill="FFFFFF"/>
        <w:spacing w:before="0" w:beforeAutospacing="0" w:after="0" w:afterAutospacing="0" w:line="540" w:lineRule="exact"/>
        <w:rPr>
          <w:rFonts w:ascii="仿宋_GB2312" w:hAnsi="黑体" w:eastAsia="仿宋_GB2312" w:cs="黑体"/>
          <w:bCs/>
          <w:color w:val="000000"/>
          <w:shd w:val="clear" w:color="auto" w:fill="FFFFFF"/>
        </w:rPr>
      </w:pPr>
      <w:r>
        <w:rPr>
          <w:rFonts w:hint="eastAsia" w:ascii="仿宋_GB2312" w:hAnsi="黑体" w:eastAsia="仿宋_GB2312" w:cs="黑体"/>
          <w:bCs/>
          <w:color w:val="000000"/>
          <w:shd w:val="clear" w:color="auto" w:fill="FFFFFF"/>
        </w:rPr>
        <w:t>（1）尚未制定口腔种植设计方案。按本通知价格政策执行。</w:t>
      </w:r>
    </w:p>
    <w:p>
      <w:pPr>
        <w:spacing w:line="560" w:lineRule="exact"/>
        <w:rPr>
          <w:rFonts w:ascii="仿宋_GB2312" w:hAnsi="黑体" w:eastAsia="仿宋_GB2312" w:cs="黑体"/>
          <w:bCs/>
          <w:color w:val="000000"/>
          <w:kern w:val="0"/>
          <w:sz w:val="24"/>
          <w:shd w:val="clear" w:color="auto" w:fill="FFFFFF"/>
        </w:rPr>
      </w:pPr>
      <w:r>
        <w:rPr>
          <w:rFonts w:hint="eastAsia" w:ascii="仿宋_GB2312" w:hAnsi="黑体" w:eastAsia="仿宋_GB2312" w:cs="黑体"/>
          <w:bCs/>
          <w:color w:val="000000"/>
          <w:kern w:val="0"/>
          <w:sz w:val="24"/>
          <w:shd w:val="clear" w:color="auto" w:fill="FFFFFF"/>
        </w:rPr>
        <w:t>（2）已完成口腔种植设计方案，尚未进行口腔种植一期手术。种植项目按本通知相关项目价格80%执行。</w:t>
      </w:r>
    </w:p>
    <w:p>
      <w:pPr>
        <w:spacing w:line="560" w:lineRule="exact"/>
        <w:rPr>
          <w:rFonts w:ascii="仿宋_GB2312" w:hAnsi="黑体" w:eastAsia="仿宋_GB2312" w:cs="黑体"/>
          <w:bCs/>
          <w:color w:val="000000"/>
          <w:kern w:val="0"/>
          <w:sz w:val="24"/>
          <w:shd w:val="clear" w:color="auto" w:fill="FFFFFF"/>
        </w:rPr>
      </w:pPr>
      <w:r>
        <w:rPr>
          <w:rFonts w:hint="eastAsia" w:ascii="仿宋_GB2312" w:hAnsi="黑体" w:eastAsia="仿宋_GB2312" w:cs="黑体"/>
          <w:bCs/>
          <w:color w:val="000000"/>
          <w:kern w:val="0"/>
          <w:sz w:val="24"/>
          <w:shd w:val="clear" w:color="auto" w:fill="FFFFFF"/>
        </w:rPr>
        <w:t>（3）已完成口腔种植一期手术，尚未进行口腔种植二期手术。种植项目按本通知相关项目价格30%执行。</w:t>
      </w:r>
    </w:p>
    <w:p>
      <w:pPr>
        <w:spacing w:line="560" w:lineRule="exact"/>
        <w:rPr>
          <w:rFonts w:ascii="仿宋_GB2312" w:hAnsi="黑体" w:eastAsia="仿宋_GB2312" w:cs="黑体"/>
          <w:bCs/>
          <w:color w:val="000000"/>
          <w:kern w:val="0"/>
          <w:sz w:val="24"/>
          <w:shd w:val="clear" w:color="auto" w:fill="FFFFFF"/>
        </w:rPr>
      </w:pPr>
      <w:r>
        <w:rPr>
          <w:rFonts w:hint="eastAsia" w:ascii="仿宋_GB2312" w:hAnsi="黑体" w:eastAsia="仿宋_GB2312" w:cs="黑体"/>
          <w:bCs/>
          <w:color w:val="000000"/>
          <w:kern w:val="0"/>
          <w:sz w:val="24"/>
          <w:shd w:val="clear" w:color="auto" w:fill="FFFFFF"/>
        </w:rPr>
        <w:t>（4）已完成口腔种植二期手术，尚未进行种植修复。不再收取种植相关项目，按本通知要求收取种植修复相关项目。</w:t>
      </w:r>
    </w:p>
    <w:p>
      <w:pPr>
        <w:spacing w:line="560" w:lineRule="exact"/>
        <w:ind w:firstLine="640"/>
        <w:rPr>
          <w:rFonts w:hint="eastAsia" w:ascii="仿宋_GB2312" w:hAnsi="黑体" w:eastAsia="仿宋_GB2312" w:cs="黑体"/>
          <w:bCs/>
          <w:color w:val="000000"/>
          <w:kern w:val="0"/>
          <w:sz w:val="24"/>
          <w:shd w:val="clear" w:color="auto" w:fill="FFFFFF"/>
        </w:rPr>
      </w:pPr>
      <w:r>
        <w:rPr>
          <w:rFonts w:hint="eastAsia" w:ascii="仿宋_GB2312" w:hAnsi="黑体" w:eastAsia="仿宋_GB2312" w:cs="黑体"/>
          <w:bCs/>
          <w:color w:val="000000"/>
          <w:kern w:val="0"/>
          <w:sz w:val="24"/>
          <w:shd w:val="clear" w:color="auto" w:fill="FFFFFF"/>
        </w:rPr>
        <w:t>以上阶段，以病历记录及实际诊疗操作日期为准。</w:t>
      </w:r>
    </w:p>
    <w:p>
      <w:pPr>
        <w:pStyle w:val="2"/>
        <w:rPr>
          <w:rFonts w:hint="eastAsia"/>
        </w:rPr>
      </w:pPr>
      <w:bookmarkStart w:id="0" w:name="_GoBack"/>
      <w:bookmarkEnd w:id="0"/>
    </w:p>
    <w:tbl>
      <w:tblPr>
        <w:tblStyle w:val="6"/>
        <w:tblW w:w="21704" w:type="dxa"/>
        <w:tblInd w:w="-459" w:type="dxa"/>
        <w:tblLayout w:type="autofit"/>
        <w:tblCellMar>
          <w:top w:w="0" w:type="dxa"/>
          <w:left w:w="108" w:type="dxa"/>
          <w:bottom w:w="0" w:type="dxa"/>
          <w:right w:w="108" w:type="dxa"/>
        </w:tblCellMar>
      </w:tblPr>
      <w:tblGrid>
        <w:gridCol w:w="541"/>
        <w:gridCol w:w="751"/>
        <w:gridCol w:w="1536"/>
        <w:gridCol w:w="2016"/>
        <w:gridCol w:w="2806"/>
        <w:gridCol w:w="3544"/>
        <w:gridCol w:w="2060"/>
        <w:gridCol w:w="914"/>
        <w:gridCol w:w="1056"/>
        <w:gridCol w:w="1056"/>
        <w:gridCol w:w="1056"/>
        <w:gridCol w:w="2194"/>
        <w:gridCol w:w="2174"/>
      </w:tblGrid>
      <w:tr>
        <w:tblPrEx>
          <w:tblCellMar>
            <w:top w:w="0" w:type="dxa"/>
            <w:left w:w="108" w:type="dxa"/>
            <w:bottom w:w="0" w:type="dxa"/>
            <w:right w:w="108" w:type="dxa"/>
          </w:tblCellMar>
        </w:tblPrEx>
        <w:trPr>
          <w:trHeight w:val="240" w:hRule="atLeast"/>
          <w:tblHeader/>
        </w:trPr>
        <w:tc>
          <w:tcPr>
            <w:tcW w:w="54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75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财务分类</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项目编码</w:t>
            </w:r>
          </w:p>
        </w:tc>
        <w:tc>
          <w:tcPr>
            <w:tcW w:w="201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国家编码</w:t>
            </w:r>
          </w:p>
        </w:tc>
        <w:tc>
          <w:tcPr>
            <w:tcW w:w="280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项目名称</w:t>
            </w:r>
          </w:p>
        </w:tc>
        <w:tc>
          <w:tcPr>
            <w:tcW w:w="354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项目内涵</w:t>
            </w:r>
          </w:p>
        </w:tc>
        <w:tc>
          <w:tcPr>
            <w:tcW w:w="206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除外内容</w:t>
            </w:r>
          </w:p>
        </w:tc>
        <w:tc>
          <w:tcPr>
            <w:tcW w:w="91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计价单位</w:t>
            </w:r>
          </w:p>
        </w:tc>
        <w:tc>
          <w:tcPr>
            <w:tcW w:w="3168" w:type="dxa"/>
            <w:gridSpan w:val="3"/>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价格</w:t>
            </w:r>
          </w:p>
        </w:tc>
        <w:tc>
          <w:tcPr>
            <w:tcW w:w="219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说明</w:t>
            </w:r>
          </w:p>
        </w:tc>
        <w:tc>
          <w:tcPr>
            <w:tcW w:w="217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CellMar>
            <w:top w:w="0" w:type="dxa"/>
            <w:left w:w="108" w:type="dxa"/>
            <w:bottom w:w="0" w:type="dxa"/>
            <w:right w:w="108" w:type="dxa"/>
          </w:tblCellMar>
        </w:tblPrEx>
        <w:trPr>
          <w:trHeight w:val="480" w:hRule="atLeast"/>
          <w:tblHeader/>
        </w:trPr>
        <w:tc>
          <w:tcPr>
            <w:tcW w:w="54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20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280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354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20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9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黑体" w:hAnsi="黑体" w:eastAsia="黑体" w:cs="宋体"/>
                <w:b/>
                <w:bCs/>
                <w:color w:val="000000"/>
                <w:kern w:val="0"/>
                <w:sz w:val="24"/>
              </w:rPr>
            </w:pPr>
          </w:p>
        </w:tc>
        <w:tc>
          <w:tcPr>
            <w:tcW w:w="1056" w:type="dxa"/>
            <w:tcBorders>
              <w:top w:val="nil"/>
              <w:left w:val="nil"/>
              <w:bottom w:val="single" w:color="auto" w:sz="4" w:space="0"/>
              <w:right w:val="single" w:color="auto" w:sz="4" w:space="0"/>
            </w:tcBorders>
            <w:noWrap/>
            <w:vAlign w:val="center"/>
          </w:tcPr>
          <w:p>
            <w:pPr>
              <w:widowControl/>
              <w:jc w:val="center"/>
              <w:rPr>
                <w:rFonts w:hint="eastAsia" w:ascii="黑体" w:hAnsi="黑体" w:eastAsia="黑体" w:cs="宋体"/>
                <w:b/>
                <w:bCs/>
                <w:kern w:val="0"/>
                <w:sz w:val="24"/>
                <w:lang w:eastAsia="zh-CN"/>
              </w:rPr>
            </w:pPr>
            <w:r>
              <w:rPr>
                <w:rFonts w:hint="eastAsia" w:ascii="黑体" w:hAnsi="黑体" w:eastAsia="黑体" w:cs="宋体"/>
                <w:b/>
                <w:bCs/>
                <w:kern w:val="0"/>
                <w:sz w:val="24"/>
              </w:rPr>
              <w:t>一级</w:t>
            </w:r>
          </w:p>
          <w:p>
            <w:pPr>
              <w:widowControl/>
              <w:jc w:val="center"/>
              <w:rPr>
                <w:rFonts w:ascii="黑体" w:hAnsi="黑体" w:eastAsia="黑体" w:cs="宋体"/>
                <w:b/>
                <w:bCs/>
                <w:kern w:val="0"/>
                <w:sz w:val="24"/>
              </w:rPr>
            </w:pPr>
            <w:r>
              <w:rPr>
                <w:rFonts w:hint="eastAsia" w:ascii="黑体" w:hAnsi="黑体" w:eastAsia="黑体" w:cs="宋体"/>
                <w:b/>
                <w:bCs/>
                <w:kern w:val="0"/>
                <w:sz w:val="24"/>
              </w:rPr>
              <w:t>及以下</w:t>
            </w:r>
          </w:p>
        </w:tc>
        <w:tc>
          <w:tcPr>
            <w:tcW w:w="1056"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二级</w:t>
            </w:r>
          </w:p>
        </w:tc>
        <w:tc>
          <w:tcPr>
            <w:tcW w:w="1056"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b/>
                <w:bCs/>
                <w:kern w:val="0"/>
                <w:sz w:val="24"/>
              </w:rPr>
            </w:pPr>
            <w:r>
              <w:rPr>
                <w:rFonts w:hint="eastAsia" w:ascii="黑体" w:hAnsi="黑体" w:eastAsia="黑体" w:cs="宋体"/>
                <w:b/>
                <w:bCs/>
                <w:kern w:val="0"/>
                <w:sz w:val="24"/>
              </w:rPr>
              <w:t>三级</w:t>
            </w:r>
          </w:p>
        </w:tc>
        <w:tc>
          <w:tcPr>
            <w:tcW w:w="2194" w:type="dxa"/>
            <w:vMerge w:val="continue"/>
            <w:tcBorders>
              <w:top w:val="single" w:color="auto" w:sz="4" w:space="0"/>
              <w:left w:val="single" w:color="auto" w:sz="4" w:space="0"/>
              <w:bottom w:val="single" w:color="auto" w:sz="4" w:space="0"/>
              <w:right w:val="single" w:color="auto" w:sz="4" w:space="0"/>
            </w:tcBorders>
            <w:noWrap/>
            <w:vAlign w:val="center"/>
          </w:tcPr>
          <w:p>
            <w:pPr>
              <w:keepNext/>
              <w:keepLines/>
              <w:widowControl/>
              <w:spacing w:before="340" w:after="330" w:line="578" w:lineRule="auto"/>
              <w:jc w:val="left"/>
              <w:rPr>
                <w:rFonts w:ascii="黑体" w:hAnsi="黑体" w:eastAsia="黑体" w:cs="宋体"/>
                <w:b/>
                <w:bCs/>
                <w:color w:val="000000"/>
                <w:kern w:val="0"/>
                <w:sz w:val="24"/>
              </w:rPr>
            </w:pPr>
          </w:p>
        </w:tc>
        <w:tc>
          <w:tcPr>
            <w:tcW w:w="2174" w:type="dxa"/>
            <w:vMerge w:val="continue"/>
            <w:tcBorders>
              <w:top w:val="single" w:color="auto" w:sz="4" w:space="0"/>
              <w:left w:val="single" w:color="auto" w:sz="4" w:space="0"/>
              <w:bottom w:val="single" w:color="auto" w:sz="4" w:space="0"/>
              <w:right w:val="single" w:color="auto" w:sz="4" w:space="0"/>
            </w:tcBorders>
            <w:noWrap/>
            <w:vAlign w:val="center"/>
          </w:tcPr>
          <w:p>
            <w:pPr>
              <w:keepNext/>
              <w:keepLines/>
              <w:widowControl/>
              <w:spacing w:before="340" w:after="330" w:line="578" w:lineRule="auto"/>
              <w:jc w:val="left"/>
              <w:rPr>
                <w:rFonts w:ascii="黑体" w:hAnsi="黑体" w:eastAsia="黑体" w:cs="宋体"/>
                <w:b/>
                <w:bCs/>
                <w:color w:val="000000"/>
                <w:kern w:val="0"/>
                <w:sz w:val="24"/>
              </w:rPr>
            </w:pPr>
          </w:p>
        </w:tc>
      </w:tr>
      <w:tr>
        <w:tblPrEx>
          <w:tblCellMar>
            <w:top w:w="0" w:type="dxa"/>
            <w:left w:w="108" w:type="dxa"/>
            <w:bottom w:w="0" w:type="dxa"/>
            <w:right w:w="108" w:type="dxa"/>
          </w:tblCellMar>
        </w:tblPrEx>
        <w:trPr>
          <w:trHeight w:val="2108"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330609014</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013306090010000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种植体植入费（单颗）</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实现口腔单颗种植体植入。价格构成涵盖方案设计、术前准备，备洞，种植体植入，二期手术，术后处理，手术复查等步骤人力资源和基本物资消耗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种植体系统、基台</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1448.00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1629.00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xml:space="preserve">1810.00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种植体即刻种植加收，颅颌面种植体植入加收。未植入种植体按实际发生的通科项目计价收费。</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330609014/1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013306090010001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种植体植入费（单颗）-种植体即刻种植（加收）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1737.60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1954.80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2172.00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加收20%。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此价格已在主项目价格基础上加收，不得再收取主项目。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330609014/2</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013306090010002</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种植体植入费（单颗）-颅颌面种植体植入（加收）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2172.00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2443.50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2715.00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加收50%。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此价格已在主项目价格基础上加收，不得再收取主项目。</w:t>
            </w:r>
          </w:p>
        </w:tc>
      </w:tr>
      <w:tr>
        <w:tblPrEx>
          <w:tblCellMar>
            <w:top w:w="0" w:type="dxa"/>
            <w:left w:w="108" w:type="dxa"/>
            <w:bottom w:w="0" w:type="dxa"/>
            <w:right w:w="108" w:type="dxa"/>
          </w:tblCellMar>
        </w:tblPrEx>
        <w:trPr>
          <w:trHeight w:val="2341"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330609015</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013306090020000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种植体植入费（全牙弓）</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对范围超过一个象限以上的连续牙齿缺失进行种植体的植入以实现桥式修复。价格构成涵盖方案设计、术前准备，备洞，种植体植入，二期手术，术后处理，手术复查等步骤人力资源和基本物资消耗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种植体系统、基台</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例</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上下颌分别进行桥式修复的，分别计价。种植体即刻种植加收，颅颌面种植体植入加收，种植体倾斜植入加收。</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330609015/1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013306090020001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种植体植入费（全牙弓）-种植体即刻种植（加收）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例</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此价格应在主项目价格基础上加收，不得再收取主项目。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330609015/2</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013306090020002</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种植体植入费（全牙弓）-颅颌面种植体植入（加收）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例</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此价格应在主项目价格基础上加收，不得再收取主项目。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330609015/3</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013306090020003</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种植体植入费（全牙弓）-种植体倾斜植入（加收）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例</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此价格应在主项目价格基础上加收，不得再收取主项目。</w:t>
            </w:r>
          </w:p>
        </w:tc>
      </w:tr>
      <w:tr>
        <w:tblPrEx>
          <w:tblCellMar>
            <w:top w:w="0" w:type="dxa"/>
            <w:left w:w="108" w:type="dxa"/>
            <w:bottom w:w="0" w:type="dxa"/>
            <w:right w:w="108" w:type="dxa"/>
          </w:tblCellMar>
        </w:tblPrEx>
        <w:trPr>
          <w:trHeight w:val="2578"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310523008</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013105170010000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种植牙冠修复置入费（单颗）</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实现种植体上部固定义齿的修复置入。价格构成涵盖方案设计、印模制取、颌位确定、位置转移、模型制作、试排牙、戴入、调改、宣教等人力资源和基本物资消耗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种植体替代体、基台、转移杆、义齿</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768.00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864.00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960.00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即刻修复置入加收，临时冠修复置入减收。</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310523008/1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013105170010001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种植牙冠修复置入费（单颗）-即刻修复置入（加收）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921.60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1036.80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1152.00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加收20%。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此价格已在主项目价格基础上加收，不得再收取主项目。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310523008/2</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013105170010002</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种植牙冠修复置入（单颗）-临时冠修复置入（减收）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384.00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432.00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480.00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减收50%。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此价格已在主项目价格基础上减收，不得再收取主项目。</w:t>
            </w:r>
          </w:p>
        </w:tc>
      </w:tr>
      <w:tr>
        <w:tblPrEx>
          <w:tblCellMar>
            <w:top w:w="0" w:type="dxa"/>
            <w:left w:w="108" w:type="dxa"/>
            <w:bottom w:w="0" w:type="dxa"/>
            <w:right w:w="108" w:type="dxa"/>
          </w:tblCellMar>
        </w:tblPrEx>
        <w:trPr>
          <w:trHeight w:val="2859"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310523009</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013105170020000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种植牙冠修复置入费（连续冠桥修复）</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实现种植体上部不超过一个象限的连续固定义齿的修复置入。价格构成涵盖方案设计、印模制取、颌位确定、位置转移、模型制作、试排牙、戴入、调改、宣教等人力资源和基本物资消耗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种植体替代体、基台、转移杆、义齿</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1024.00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1152.00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1280.00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即刻修复置入加收，临时冠修复置入减收。</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836"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310523009/1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013105170020001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种植牙冠修复置入费（连续冠桥修复）-即刻修复置入（加收）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1228.80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1382.40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1536.00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加收20%。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此价格已在主项目价格基础上加收，不得再收取主项目。</w:t>
            </w:r>
          </w:p>
        </w:tc>
      </w:tr>
      <w:tr>
        <w:tblPrEx>
          <w:tblCellMar>
            <w:top w:w="0" w:type="dxa"/>
            <w:left w:w="108" w:type="dxa"/>
            <w:bottom w:w="0" w:type="dxa"/>
            <w:right w:w="108" w:type="dxa"/>
          </w:tblCellMar>
        </w:tblPrEx>
        <w:trPr>
          <w:trHeight w:val="1976"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310523009/2</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013105170020002</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种植牙冠修复置入（连续冠桥修复）-临时冠修复置入（减收）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512.00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576.00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640.00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减收50%。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此价格已在主项目价格基础上减收，不得再收取主项目。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310523010</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013105170030000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种植牙冠修复置入费（固定咬合重建）</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现对咬合支持丧失、半口牙齿缺失或全口牙齿缺失的种植体上部固定义齿的修复置入。价格构成涵盖方案设计、印模制取、颌位确定、位置转移、模型制作、试排牙、戴入、调改、宣教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种植体替代体、基台、转移杆、义齿</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即刻修复置入加收。</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310523010/1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013105170030001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种植牙冠修复置入费（固定咬合重建）-即刻修复置入（加收）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此价格应在主项目价格基础上加收，不得再收取主项目。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013105230010000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种植可摘修复置入费</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实现种植体上部可摘修复体的置入。价格构成涵盖方案设计、印模制取、颌位确定、位置转移、试排牙、模型制作、戴入、调改、宣教等人力资源和基本物资消耗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种植体替代体、基台、转移杆、义齿</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即刻修复置入加收。</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439"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310523011/1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013105230010001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种植可摘修复置入费-即刻修复置入（加收）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市场调节价</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此价格应在主项目价格基础上加收，不得再收取主项目。</w:t>
            </w:r>
          </w:p>
        </w:tc>
      </w:tr>
      <w:tr>
        <w:tblPrEx>
          <w:tblCellMar>
            <w:top w:w="0" w:type="dxa"/>
            <w:left w:w="108" w:type="dxa"/>
            <w:bottom w:w="0" w:type="dxa"/>
            <w:right w:w="108" w:type="dxa"/>
          </w:tblCellMar>
        </w:tblPrEx>
        <w:trPr>
          <w:trHeight w:val="2661"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330609016</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013306090030000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口腔内植骨费（简单）</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通过手术方式，对轻度牙槽嵴萎缩骨量增加，达到可种植条件。价格构成涵盖方案设计、术前准备、手术入路，组织切开，植骨，关闭缝合受植区等手术步骤及术后复查处置等人力资源和基本物资消耗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骨粉、骨膜、螺钉、胶原基骨修复材料、固定材料、人工材料模型、模板，CGF,PRF等因子作为充填物</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720.00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810.00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900.00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2735"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330609017</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013306090040000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口腔内植骨费（一般）</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通过手术方式，对中度牙槽嵴萎缩骨量增加，达到可种植条件。价格构成涵盖方案设计、术前准备、手术入路，组织切开，骨劈开/骨挤压，植骨，关闭缝合受植区等手术步骤及术后复查处置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骨粉、骨膜、螺钉、胶原基骨修复材料、固定材料、人工材料模型、模板，CGF,PRF等因子作为充填物</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1280.00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1440.00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1600.00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330609018</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013306090050000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口腔内植骨费（复杂）</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通过手术方式，对重度牙槽嵴萎缩或上颌窦底骨量增加，达到可种植条件。价格构成涵盖方案设计、术前准备、手术入路，组织切开，自体骨移植、植骨，关闭缝合受植区等手术步骤及术后复查处置等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骨粉、骨膜、螺钉、胶原基骨修复材料、固定材料、人工材料模型、模板，CGF,PRF等因子作为充填物</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1920.00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2160.00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2400.00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上颌窦囊肿摘除加收，口腔以外其他部位取骨加收。</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330609018/1</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013306090050001</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口腔内植骨费（复杂）-上颌窦囊肿摘除（加收）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2304.00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2592.00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2880.00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加收20%。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此价格已在主项目价格基础上加收，不得再收取主项目。</w:t>
            </w:r>
          </w:p>
        </w:tc>
      </w:tr>
      <w:tr>
        <w:tblPrEx>
          <w:tblCellMar>
            <w:top w:w="0" w:type="dxa"/>
            <w:left w:w="108" w:type="dxa"/>
            <w:bottom w:w="0" w:type="dxa"/>
            <w:right w:w="108" w:type="dxa"/>
          </w:tblCellMar>
        </w:tblPrEx>
        <w:trPr>
          <w:trHeight w:val="160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330609018/2</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013306090050002</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口腔内植骨费（复杂）-口腔以外其他部位取骨（加收）</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2880.00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3240.00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3600.00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加收50%。</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此价格已在主项目价格基础上加收，不得再收取主项目。</w:t>
            </w:r>
          </w:p>
        </w:tc>
      </w:tr>
      <w:tr>
        <w:tblPrEx>
          <w:tblCellMar>
            <w:top w:w="0" w:type="dxa"/>
            <w:left w:w="108" w:type="dxa"/>
            <w:bottom w:w="0" w:type="dxa"/>
            <w:right w:w="108" w:type="dxa"/>
          </w:tblCellMar>
        </w:tblPrEx>
        <w:trPr>
          <w:trHeight w:val="2375"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330609019</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013306090060000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种植体周软组织移植费</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通过局部软组织移植，改善治疗部位及周围软组织状况，达到治疗所需软组织条件。价格构成涵盖方案设计、术前准备、切开、翻瓣、供软组织制备、组织固定、缝合及处置等手术步骤人力资源和基本物资消耗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骨粉、骨膜、胶原基骨修复材料</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640.00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720.00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800.00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184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G</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330609020</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013306090070000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种植体取出费</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拆除患者口腔内已植入且无法继续使用的种植体。价格构成涵盖种植体拆除操作步骤的人力资源和基本基本物资消耗</w:t>
            </w:r>
          </w:p>
        </w:tc>
        <w:tc>
          <w:tcPr>
            <w:tcW w:w="206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400.00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450.00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500.00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2407"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310523012</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013105190010000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种植牙冠修理费</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对产品保质保修条件外，种植牙冠脱落、崩瓷、嵌食、断裂等机械性或器质性损坏进行修理，恢复正常使用。价格构成涵盖种植修复置入体的检查、拆卸、修补、置入等人力资源和基本物资消耗</w:t>
            </w:r>
          </w:p>
        </w:tc>
        <w:tc>
          <w:tcPr>
            <w:tcW w:w="206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牙位</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640.00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720.00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800.00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3429"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310523013</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013105170040000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医学3D建模（口腔）</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利用医学影像检查等手段获得患者特定部位的真实信息。通过数字技术构建的虚拟3D模型、真实再现口腔及颌面特定部位的形态，能够满足疾病诊断、手术规划、治疗及导板设计的需要。价格构成涵盖数字化扫描、建模、存储、传输，装置设计等步骤的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例</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196.00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220.50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245.00 </w:t>
            </w:r>
          </w:p>
        </w:tc>
        <w:tc>
          <w:tcPr>
            <w:tcW w:w="219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2272"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310523014</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013105230020000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医学3D模型打印（口腔）</w:t>
            </w:r>
          </w:p>
        </w:tc>
        <w:tc>
          <w:tcPr>
            <w:tcW w:w="354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将虚拟3D模型打印或切削制作成仅用于口腔疾病诊断、手术规划、治疗及导板设计的实体模型。价格构成涵盖3D打印或切削制作的人力资源和基本物资消耗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360.00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405.00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450.00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单颗常规种植确需应用时，按10%收取</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r>
        <w:tblPrEx>
          <w:tblCellMar>
            <w:top w:w="0" w:type="dxa"/>
            <w:left w:w="108" w:type="dxa"/>
            <w:bottom w:w="0" w:type="dxa"/>
            <w:right w:w="108" w:type="dxa"/>
          </w:tblCellMar>
        </w:tblPrEx>
        <w:trPr>
          <w:trHeight w:val="2234" w:hRule="atLeast"/>
        </w:trPr>
        <w:tc>
          <w:tcPr>
            <w:tcW w:w="54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751"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E</w:t>
            </w:r>
          </w:p>
        </w:tc>
        <w:tc>
          <w:tcPr>
            <w:tcW w:w="153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310523015</w:t>
            </w:r>
          </w:p>
        </w:tc>
        <w:tc>
          <w:tcPr>
            <w:tcW w:w="201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013105230030000</w:t>
            </w:r>
          </w:p>
        </w:tc>
        <w:tc>
          <w:tcPr>
            <w:tcW w:w="280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医学3D导板打印（口腔）</w:t>
            </w:r>
          </w:p>
        </w:tc>
        <w:tc>
          <w:tcPr>
            <w:tcW w:w="3544" w:type="dxa"/>
            <w:tcBorders>
              <w:top w:val="nil"/>
              <w:left w:val="nil"/>
              <w:bottom w:val="single" w:color="auto" w:sz="4" w:space="0"/>
              <w:right w:val="single" w:color="auto" w:sz="4" w:space="0"/>
            </w:tcBorders>
            <w:noWrap/>
            <w:vAlign w:val="center"/>
          </w:tcPr>
          <w:p>
            <w:pPr>
              <w:widowControl/>
              <w:spacing w:line="260" w:lineRule="exact"/>
              <w:rPr>
                <w:rFonts w:ascii="宋体" w:hAnsi="宋体" w:cs="宋体"/>
                <w:color w:val="000000"/>
                <w:kern w:val="0"/>
                <w:sz w:val="24"/>
              </w:rPr>
            </w:pPr>
            <w:r>
              <w:rPr>
                <w:rFonts w:hint="eastAsia" w:ascii="宋体" w:hAnsi="宋体" w:cs="宋体"/>
                <w:color w:val="000000"/>
                <w:kern w:val="0"/>
                <w:sz w:val="24"/>
              </w:rPr>
              <w:t>将虚拟3D模型打印或切削制作成用于治疗部位、确保植（置）入物精准到达和处理预定位置的实物模板或手术操作对治疗部位进行精确处理。价格构成涵盖3D打印或切削制作的人力资源和基本物资消耗</w:t>
            </w:r>
          </w:p>
        </w:tc>
        <w:tc>
          <w:tcPr>
            <w:tcW w:w="20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1080.00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1215.00 </w:t>
            </w:r>
          </w:p>
        </w:tc>
        <w:tc>
          <w:tcPr>
            <w:tcW w:w="105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1350.00 </w:t>
            </w:r>
          </w:p>
        </w:tc>
        <w:tc>
          <w:tcPr>
            <w:tcW w:w="219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单颗常规种植确需应用时，按10%收取</w:t>
            </w:r>
          </w:p>
        </w:tc>
        <w:tc>
          <w:tcPr>
            <w:tcW w:w="217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内涵所指步骤，不得再另外收取医疗服务项目。</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ODU5OTBjYzg0ODBhNGE3ZmI4OWFmM2JkMzNiMmIifQ=="/>
  </w:docVars>
  <w:rsids>
    <w:rsidRoot w:val="34D34C2E"/>
    <w:rsid w:val="19701B87"/>
    <w:rsid w:val="34D34C2E"/>
    <w:rsid w:val="40D2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pPr>
    <w:rPr>
      <w:b/>
      <w:bCs/>
      <w:sz w:val="32"/>
      <w:szCs w:val="32"/>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rPr>
      <w:rFonts w:ascii="Times New Roman" w:hAnsi="Times New Roman" w:cs="Times New Roman"/>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4274</Words>
  <Characters>5326</Characters>
  <Lines>0</Lines>
  <Paragraphs>0</Paragraphs>
  <TotalTime>1</TotalTime>
  <ScaleCrop>false</ScaleCrop>
  <LinksUpToDate>false</LinksUpToDate>
  <CharactersWithSpaces>5518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2023-04-14T08:01:00Z</dcterms:created>
  <dc:creator>田泰亨</dc:creator>
  <cp:lastModifiedBy>田泰亨</cp:lastModifiedBy>
  <dcterms:modified xsi:type="dcterms:W3CDTF">2023-04-14T08:05:14Z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2D151746826C4AEE944E7AAE1D567A5A_11</vt:lpwstr>
  </property>
</Properties>
</file>