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0"/>
        </w:numPr>
        <w:tabs>
          <w:tab w:val="left" w:pos="864"/>
        </w:tabs>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 w:val="0"/>
          <w:bCs w:val="0"/>
          <w:sz w:val="28"/>
          <w:szCs w:val="28"/>
        </w:rPr>
      </w:pPr>
      <w:bookmarkStart w:id="3" w:name="_GoBack"/>
      <w:bookmarkEnd w:id="3"/>
      <w:r>
        <w:rPr>
          <w:rFonts w:hint="eastAsia" w:ascii="仿宋" w:hAnsi="仿宋" w:eastAsia="仿宋"/>
          <w:b w:val="0"/>
          <w:bCs w:val="0"/>
          <w:sz w:val="28"/>
          <w:szCs w:val="28"/>
        </w:rPr>
        <w:t>附件3：</w:t>
      </w:r>
    </w:p>
    <w:p>
      <w:pPr>
        <w:pStyle w:val="3"/>
        <w:keepNext/>
        <w:keepLines/>
        <w:pageBreakBefore w:val="0"/>
        <w:widowControl w:val="0"/>
        <w:numPr>
          <w:ilvl w:val="0"/>
          <w:numId w:val="0"/>
        </w:numPr>
        <w:tabs>
          <w:tab w:val="left" w:pos="864"/>
        </w:tabs>
        <w:kinsoku/>
        <w:wordWrap/>
        <w:overflowPunct/>
        <w:topLinePunct w:val="0"/>
        <w:autoSpaceDE/>
        <w:autoSpaceDN/>
        <w:bidi w:val="0"/>
        <w:adjustRightInd/>
        <w:snapToGrid/>
        <w:spacing w:after="0"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缴存基数年度调整操作指引</w:t>
      </w:r>
    </w:p>
    <w:p>
      <w:pPr>
        <w:rPr>
          <w:rFonts w:hint="eastAsia"/>
        </w:rPr>
      </w:pPr>
    </w:p>
    <w:p>
      <w:pPr>
        <w:pStyle w:val="2"/>
        <w:numPr>
          <w:ilvl w:val="1"/>
          <w:numId w:val="0"/>
        </w:numPr>
        <w:bidi w:val="0"/>
        <w:ind w:leftChars="0"/>
        <w:rPr>
          <w:rFonts w:hint="default"/>
          <w:lang w:val="en-US" w:eastAsia="zh-CN"/>
        </w:rPr>
      </w:pPr>
      <w:r>
        <w:rPr>
          <w:rFonts w:hint="eastAsia"/>
          <w:lang w:val="en-US" w:eastAsia="zh-CN"/>
        </w:rPr>
        <w:t>一、缴存基数年度调整</w:t>
      </w:r>
    </w:p>
    <w:p>
      <w:pPr>
        <w:pStyle w:val="3"/>
        <w:numPr>
          <w:ilvl w:val="0"/>
          <w:numId w:val="0"/>
        </w:numPr>
        <w:tabs>
          <w:tab w:val="left" w:pos="864"/>
        </w:tabs>
        <w:spacing w:after="0" w:line="360" w:lineRule="auto"/>
      </w:pPr>
      <w:r>
        <w:rPr>
          <w:rFonts w:hint="eastAsia"/>
        </w:rPr>
        <w:t>业务描述</w:t>
      </w:r>
    </w:p>
    <w:p>
      <w:pPr>
        <w:rPr>
          <w:rFonts w:ascii="宋体" w:hAnsi="宋体" w:cs="宋体"/>
          <w:sz w:val="24"/>
          <w:szCs w:val="24"/>
        </w:rPr>
      </w:pPr>
      <w:r>
        <w:rPr>
          <w:rFonts w:hint="eastAsia" w:ascii="宋体" w:hAnsi="宋体" w:cs="宋体"/>
          <w:sz w:val="24"/>
          <w:szCs w:val="24"/>
        </w:rPr>
        <w:t>单位年度基数调整。住房公积金缴存基数按照职工本人上一自然年度月平均工资每年调整一次（缴存年度为当年7月1日至次年6月30日）。新的公积金缴存年度按核定后的缴存额汇缴，且在一个缴存年度内不再变更。</w:t>
      </w:r>
    </w:p>
    <w:p>
      <w:pPr>
        <w:rPr>
          <w:rFonts w:ascii="宋体" w:hAnsi="宋体" w:cs="宋体"/>
          <w:sz w:val="24"/>
          <w:szCs w:val="24"/>
        </w:rPr>
      </w:pPr>
      <w:r>
        <w:rPr>
          <w:rFonts w:hint="eastAsia" w:ascii="宋体" w:hAnsi="宋体" w:cs="宋体"/>
          <w:sz w:val="24"/>
          <w:szCs w:val="24"/>
        </w:rPr>
        <w:t>一个单位一个公积金缴存年度（7月至次年6月）内只能办理一次年度调基业务，当年新参加工作和新调入职工在年度基数调整时，不再重新核定。</w:t>
      </w:r>
    </w:p>
    <w:p>
      <w:pPr>
        <w:pStyle w:val="3"/>
        <w:numPr>
          <w:ilvl w:val="0"/>
          <w:numId w:val="0"/>
        </w:numPr>
        <w:tabs>
          <w:tab w:val="left" w:pos="864"/>
        </w:tabs>
        <w:spacing w:after="0" w:line="360" w:lineRule="auto"/>
      </w:pPr>
      <w:r>
        <w:rPr>
          <w:rFonts w:hint="eastAsia"/>
        </w:rPr>
        <w:t>功能导向图</w:t>
      </w:r>
    </w:p>
    <w:p>
      <w:r>
        <w:drawing>
          <wp:inline distT="0" distB="0" distL="114300" distR="114300">
            <wp:extent cx="5271770" cy="2847975"/>
            <wp:effectExtent l="0" t="0" r="508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5271770" cy="2847975"/>
                    </a:xfrm>
                    <a:prstGeom prst="rect">
                      <a:avLst/>
                    </a:prstGeom>
                    <a:noFill/>
                    <a:ln>
                      <a:noFill/>
                    </a:ln>
                  </pic:spPr>
                </pic:pic>
              </a:graphicData>
            </a:graphic>
          </wp:inline>
        </w:drawing>
      </w:r>
    </w:p>
    <w:p>
      <w:pPr>
        <w:pStyle w:val="3"/>
        <w:numPr>
          <w:ilvl w:val="0"/>
          <w:numId w:val="0"/>
        </w:numPr>
        <w:spacing w:after="0" w:line="360" w:lineRule="auto"/>
      </w:pPr>
      <w:r>
        <w:rPr>
          <w:rFonts w:hint="eastAsia"/>
        </w:rPr>
        <w:t>具体操作</w:t>
      </w:r>
    </w:p>
    <w:p>
      <w:pPr>
        <w:spacing w:line="360" w:lineRule="auto"/>
        <w:ind w:firstLine="480" w:firstLineChars="200"/>
        <w:rPr>
          <w:rFonts w:ascii="宋体" w:hAnsi="宋体" w:cs="宋体"/>
          <w:sz w:val="24"/>
        </w:rPr>
      </w:pPr>
      <w:r>
        <w:rPr>
          <w:rFonts w:hint="eastAsia" w:ascii="宋体" w:hAnsi="宋体" w:cs="宋体"/>
          <w:sz w:val="24"/>
        </w:rPr>
        <w:t>1、</w:t>
      </w:r>
      <w:r>
        <w:rPr>
          <w:rFonts w:hint="eastAsia"/>
          <w:sz w:val="24"/>
          <w:szCs w:val="24"/>
        </w:rPr>
        <w:t>菜单地址：首页—我要办理—年度调基。经办人</w:t>
      </w:r>
      <w:r>
        <w:rPr>
          <w:rFonts w:hint="eastAsia" w:ascii="宋体" w:hAnsi="宋体" w:cs="宋体"/>
          <w:sz w:val="24"/>
        </w:rPr>
        <w:t>进入基数调整清册页面，页面如下：</w:t>
      </w:r>
    </w:p>
    <w:p>
      <w:pPr>
        <w:spacing w:line="360" w:lineRule="auto"/>
        <w:rPr>
          <w:rFonts w:ascii="宋体" w:hAnsi="宋体" w:cs="宋体"/>
          <w:sz w:val="24"/>
        </w:rPr>
      </w:pPr>
    </w:p>
    <w:p>
      <w:pPr>
        <w:spacing w:line="360" w:lineRule="auto"/>
      </w:pPr>
      <w:r>
        <w:drawing>
          <wp:inline distT="0" distB="0" distL="114300" distR="114300">
            <wp:extent cx="5272405" cy="2903855"/>
            <wp:effectExtent l="0" t="0" r="4445"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2405" cy="2903855"/>
                    </a:xfrm>
                    <a:prstGeom prst="rect">
                      <a:avLst/>
                    </a:prstGeom>
                    <a:noFill/>
                    <a:ln>
                      <a:noFill/>
                    </a:ln>
                  </pic:spPr>
                </pic:pic>
              </a:graphicData>
            </a:graphic>
          </wp:inline>
        </w:drawing>
      </w:r>
    </w:p>
    <w:p>
      <w:pPr>
        <w:spacing w:line="360" w:lineRule="auto"/>
        <w:ind w:firstLine="480" w:firstLineChars="200"/>
        <w:rPr>
          <w:rFonts w:ascii="宋体" w:hAnsi="宋体" w:cs="宋体"/>
          <w:sz w:val="24"/>
        </w:rPr>
      </w:pPr>
      <w:r>
        <w:rPr>
          <w:rFonts w:hint="eastAsia" w:ascii="宋体" w:hAnsi="宋体" w:cs="宋体"/>
          <w:sz w:val="24"/>
        </w:rPr>
        <w:t>2、点击基数调整清册页面中“调基录入”按钮，进入基数调整受理页面，（也可选择批量导入）页面如下：</w:t>
      </w:r>
    </w:p>
    <w:p>
      <w:pPr>
        <w:spacing w:line="360" w:lineRule="auto"/>
      </w:pPr>
      <w:r>
        <w:drawing>
          <wp:inline distT="0" distB="0" distL="114300" distR="114300">
            <wp:extent cx="4521200" cy="2293620"/>
            <wp:effectExtent l="0" t="0" r="12700"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521200" cy="2293620"/>
                    </a:xfrm>
                    <a:prstGeom prst="rect">
                      <a:avLst/>
                    </a:prstGeom>
                    <a:noFill/>
                    <a:ln>
                      <a:noFill/>
                    </a:ln>
                  </pic:spPr>
                </pic:pic>
              </a:graphicData>
            </a:graphic>
          </wp:inline>
        </w:drawing>
      </w:r>
    </w:p>
    <w:p>
      <w:pPr>
        <w:spacing w:line="360" w:lineRule="auto"/>
        <w:ind w:firstLine="420"/>
        <w:rPr>
          <w:rFonts w:ascii="宋体" w:hAnsi="宋体" w:cs="宋体"/>
          <w:sz w:val="24"/>
        </w:rPr>
      </w:pPr>
      <w:r>
        <w:rPr>
          <w:rFonts w:hint="eastAsia" w:ascii="宋体" w:hAnsi="宋体" w:cs="宋体"/>
          <w:sz w:val="24"/>
        </w:rPr>
        <w:t>页面默认显示单位所有正常状态的职工信息，也可在查询条件栏内录入职工基本信息，点击“查询”按钮，查询结果栏中显示查询结果。</w:t>
      </w:r>
    </w:p>
    <w:p>
      <w:pPr>
        <w:spacing w:line="360" w:lineRule="auto"/>
        <w:ind w:firstLine="480" w:firstLineChars="200"/>
        <w:rPr>
          <w:rFonts w:ascii="宋体" w:hAnsi="宋体" w:cs="宋体"/>
          <w:sz w:val="24"/>
        </w:rPr>
      </w:pPr>
      <w:r>
        <w:rPr>
          <w:rFonts w:hint="eastAsia" w:ascii="宋体" w:hAnsi="宋体" w:cs="宋体"/>
          <w:sz w:val="24"/>
        </w:rPr>
        <w:t>3、在需要基数调整的职工账户信息行中“个人缴存基数”列录入金额，调整后缴存额自动计算显示。录入完成并核对信息无误后，点击“保存”按钮，页面关闭，数据自动显示到上级页面中的基数调整清册数据列表栏内。</w:t>
      </w:r>
    </w:p>
    <w:p>
      <w:pPr>
        <w:spacing w:line="360" w:lineRule="auto"/>
        <w:ind w:firstLine="480" w:firstLineChars="200"/>
        <w:rPr>
          <w:rFonts w:ascii="宋体" w:hAnsi="宋体" w:cs="宋体"/>
          <w:sz w:val="24"/>
        </w:rPr>
      </w:pPr>
      <w:r>
        <w:rPr>
          <w:rFonts w:hint="eastAsia" w:ascii="宋体" w:hAnsi="宋体" w:cs="宋体"/>
          <w:sz w:val="24"/>
        </w:rPr>
        <w:t>4、正常范围内的基数调整，选择数据，点击“提交”按钮，提示业务办理成功，业务自动办结。不在正常范围内的基数调整业务，需要提交材料至中心人工复核。若中心审核未通过，可在首页——我要查询——</w:t>
      </w:r>
      <w:r>
        <w:fldChar w:fldCharType="begin"/>
      </w:r>
      <w:r>
        <w:instrText xml:space="preserve"> HYPERLINK "http://192.168.100.73:8080/netface/local/corp/query/completedTask.do?menuid=112181" </w:instrText>
      </w:r>
      <w:r>
        <w:fldChar w:fldCharType="separate"/>
      </w:r>
      <w:r>
        <w:rPr>
          <w:rFonts w:hint="eastAsia" w:ascii="宋体" w:hAnsi="宋体" w:cs="宋体"/>
          <w:sz w:val="24"/>
        </w:rPr>
        <w:t>网上业务办理查询</w:t>
      </w:r>
      <w:r>
        <w:rPr>
          <w:rFonts w:hint="eastAsia" w:ascii="宋体" w:hAnsi="宋体" w:cs="宋体"/>
          <w:sz w:val="24"/>
        </w:rPr>
        <w:fldChar w:fldCharType="end"/>
      </w:r>
      <w:r>
        <w:rPr>
          <w:rFonts w:hint="eastAsia" w:ascii="宋体" w:hAnsi="宋体" w:cs="宋体"/>
          <w:sz w:val="24"/>
        </w:rPr>
        <w:t>中，选择“年度调基”查询业务进度及未通过原因（也可在手机短信中查看未通过原因），根据未通过原因整改后重新提交至中心审核，直至审核通过。</w:t>
      </w:r>
    </w:p>
    <w:p>
      <w:pPr>
        <w:spacing w:line="360" w:lineRule="auto"/>
        <w:ind w:firstLine="480" w:firstLineChars="200"/>
        <w:rPr>
          <w:rFonts w:ascii="宋体" w:hAnsi="宋体" w:cs="宋体"/>
          <w:color w:val="FF0000"/>
          <w:sz w:val="24"/>
        </w:rPr>
      </w:pPr>
      <w:r>
        <w:rPr>
          <w:rFonts w:hint="eastAsia" w:ascii="宋体" w:hAnsi="宋体" w:cs="宋体"/>
          <w:sz w:val="24"/>
        </w:rPr>
        <w:t>5、如果已经保存但还未提交的数据，需要删除的，选中数据，点击“删除”按钮，即可对该条数据进行删除。</w:t>
      </w:r>
    </w:p>
    <w:p>
      <w:pPr>
        <w:spacing w:line="360" w:lineRule="auto"/>
        <w:ind w:firstLine="480" w:firstLineChars="200"/>
        <w:rPr>
          <w:rFonts w:ascii="宋体" w:hAnsi="宋体" w:cs="宋体"/>
          <w:sz w:val="24"/>
        </w:rPr>
      </w:pPr>
      <w:r>
        <w:rPr>
          <w:rFonts w:hint="eastAsia" w:ascii="宋体" w:hAnsi="宋体" w:cs="宋体"/>
          <w:sz w:val="24"/>
        </w:rPr>
        <w:t>6、在提交汇缴登记之前有两种撤销方式：第一种是在首页</w:t>
      </w:r>
      <w:r>
        <w:rPr>
          <w:rFonts w:ascii="宋体" w:hAnsi="宋体" w:cs="宋体"/>
          <w:sz w:val="24"/>
        </w:rPr>
        <w:t>—</w:t>
      </w:r>
      <w:r>
        <w:rPr>
          <w:rFonts w:hint="eastAsia" w:ascii="宋体" w:hAnsi="宋体" w:cs="宋体"/>
          <w:sz w:val="24"/>
        </w:rPr>
        <w:t>查询打印</w:t>
      </w:r>
      <w:r>
        <w:rPr>
          <w:rFonts w:ascii="宋体" w:hAnsi="宋体" w:cs="宋体"/>
          <w:sz w:val="24"/>
        </w:rPr>
        <w:t>—</w:t>
      </w:r>
      <w:r>
        <w:rPr>
          <w:rFonts w:hint="eastAsia" w:ascii="宋体" w:hAnsi="宋体" w:cs="宋体"/>
          <w:sz w:val="24"/>
        </w:rPr>
        <w:t>网上业务办理查询中，选择业务类型“年度调基”，选中业务数据，点击“撤销”，如图：</w:t>
      </w:r>
    </w:p>
    <w:p>
      <w:pPr>
        <w:spacing w:line="360" w:lineRule="auto"/>
        <w:rPr>
          <w:rFonts w:ascii="宋体" w:hAnsi="宋体" w:cs="宋体"/>
          <w:color w:val="FF0000"/>
          <w:sz w:val="24"/>
        </w:rPr>
      </w:pPr>
      <w:r>
        <w:drawing>
          <wp:inline distT="0" distB="0" distL="114300" distR="114300">
            <wp:extent cx="5007610" cy="1724025"/>
            <wp:effectExtent l="0" t="0" r="254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007610" cy="1724025"/>
                    </a:xfrm>
                    <a:prstGeom prst="rect">
                      <a:avLst/>
                    </a:prstGeom>
                    <a:noFill/>
                    <a:ln>
                      <a:noFill/>
                    </a:ln>
                  </pic:spPr>
                </pic:pic>
              </a:graphicData>
            </a:graphic>
          </wp:inline>
        </w:drawing>
      </w:r>
    </w:p>
    <w:p>
      <w:pPr>
        <w:spacing w:line="360" w:lineRule="auto"/>
        <w:rPr>
          <w:rFonts w:ascii="宋体" w:hAnsi="宋体" w:cs="宋体"/>
          <w:sz w:val="24"/>
        </w:rPr>
      </w:pPr>
      <w:r>
        <w:rPr>
          <w:rFonts w:hint="eastAsia" w:ascii="宋体" w:hAnsi="宋体" w:cs="宋体"/>
          <w:sz w:val="24"/>
        </w:rPr>
        <w:t>第二种是在首页——我要办理——年度调基里面，点击“调基详情”按钮，如图：</w:t>
      </w:r>
    </w:p>
    <w:p>
      <w:pPr>
        <w:spacing w:line="360" w:lineRule="auto"/>
        <w:rPr>
          <w:rFonts w:ascii="宋体" w:hAnsi="宋体" w:cs="宋体"/>
          <w:sz w:val="24"/>
        </w:rPr>
      </w:pPr>
      <w:r>
        <w:drawing>
          <wp:inline distT="0" distB="0" distL="114300" distR="114300">
            <wp:extent cx="5075555" cy="2014220"/>
            <wp:effectExtent l="0" t="0" r="10795" b="508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5075555" cy="2014220"/>
                    </a:xfrm>
                    <a:prstGeom prst="rect">
                      <a:avLst/>
                    </a:prstGeom>
                    <a:noFill/>
                    <a:ln>
                      <a:noFill/>
                    </a:ln>
                  </pic:spPr>
                </pic:pic>
              </a:graphicData>
            </a:graphic>
          </wp:inline>
        </w:drawing>
      </w:r>
    </w:p>
    <w:p>
      <w:pPr>
        <w:spacing w:line="360" w:lineRule="auto"/>
        <w:ind w:firstLine="480" w:firstLineChars="200"/>
        <w:rPr>
          <w:rFonts w:ascii="宋体" w:hAnsi="宋体" w:cs="宋体"/>
          <w:sz w:val="24"/>
        </w:rPr>
      </w:pPr>
      <w:r>
        <w:rPr>
          <w:rFonts w:hint="eastAsia" w:ascii="宋体" w:hAnsi="宋体" w:cs="宋体"/>
          <w:sz w:val="24"/>
        </w:rPr>
        <w:t>7、在提交了汇缴登记之后，若单位发现年度调基数据错误，需要修改的，需先撤销汇缴登记，再撤销年度调基。</w:t>
      </w:r>
    </w:p>
    <w:p>
      <w:pPr>
        <w:spacing w:line="360" w:lineRule="auto"/>
        <w:ind w:firstLine="480" w:firstLineChars="200"/>
        <w:rPr>
          <w:rFonts w:ascii="宋体" w:hAnsi="宋体" w:cs="宋体"/>
          <w:sz w:val="24"/>
        </w:rPr>
      </w:pPr>
      <w:r>
        <w:rPr>
          <w:rFonts w:hint="eastAsia" w:ascii="宋体" w:hAnsi="宋体" w:cs="宋体"/>
          <w:sz w:val="24"/>
        </w:rPr>
        <w:t>8、若单位为机关单位、事业单位、国有企业的，还需填录“基数核定表”数据，“基数核定表”个人工资合计数须与个人缴存基数金额一致才可保存提交业务。</w:t>
      </w:r>
    </w:p>
    <w:p>
      <w:pPr>
        <w:spacing w:line="360" w:lineRule="auto"/>
        <w:ind w:firstLine="480" w:firstLineChars="200"/>
        <w:rPr>
          <w:rFonts w:ascii="宋体" w:hAnsi="宋体" w:cs="宋体"/>
          <w:sz w:val="24"/>
        </w:rPr>
      </w:pPr>
      <w:r>
        <w:rPr>
          <w:rFonts w:hint="eastAsia" w:ascii="宋体" w:hAnsi="宋体" w:cs="宋体"/>
          <w:sz w:val="24"/>
        </w:rPr>
        <w:t>9、上传档案《年度缴存清册》。</w:t>
      </w:r>
    </w:p>
    <w:p>
      <w:pPr>
        <w:pStyle w:val="3"/>
        <w:numPr>
          <w:ilvl w:val="0"/>
          <w:numId w:val="0"/>
        </w:numPr>
        <w:spacing w:after="0" w:line="360" w:lineRule="auto"/>
      </w:pPr>
      <w:r>
        <w:rPr>
          <w:rFonts w:hint="eastAsia"/>
        </w:rPr>
        <w:t>批量导入</w:t>
      </w:r>
    </w:p>
    <w:p>
      <w:pPr>
        <w:numPr>
          <w:ilvl w:val="0"/>
          <w:numId w:val="2"/>
        </w:numPr>
        <w:spacing w:line="360" w:lineRule="auto"/>
        <w:ind w:firstLine="420"/>
        <w:jc w:val="left"/>
        <w:rPr>
          <w:rFonts w:ascii="宋体" w:hAnsi="宋体" w:cs="宋体"/>
          <w:sz w:val="24"/>
        </w:rPr>
      </w:pPr>
      <w:r>
        <w:rPr>
          <w:rFonts w:hint="eastAsia" w:ascii="宋体" w:hAnsi="宋体" w:cs="宋体"/>
          <w:sz w:val="24"/>
        </w:rPr>
        <w:t>点击文件导入按钮，可以通过模板批量导入基数调整职工信息模板、职工基数调整年审模板进行业务办理，页面如下：</w:t>
      </w:r>
      <w:r>
        <w:drawing>
          <wp:inline distT="0" distB="0" distL="114300" distR="114300">
            <wp:extent cx="5180330" cy="2858135"/>
            <wp:effectExtent l="0" t="0" r="1270" b="184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5"/>
                    <a:stretch>
                      <a:fillRect/>
                    </a:stretch>
                  </pic:blipFill>
                  <pic:spPr>
                    <a:xfrm>
                      <a:off x="0" y="0"/>
                      <a:ext cx="5180330" cy="2858135"/>
                    </a:xfrm>
                    <a:prstGeom prst="rect">
                      <a:avLst/>
                    </a:prstGeom>
                    <a:noFill/>
                    <a:ln>
                      <a:noFill/>
                    </a:ln>
                  </pic:spPr>
                </pic:pic>
              </a:graphicData>
            </a:graphic>
          </wp:inline>
        </w:drawing>
      </w:r>
    </w:p>
    <w:p>
      <w:pPr>
        <w:spacing w:line="360" w:lineRule="auto"/>
      </w:pPr>
      <w:r>
        <w:drawing>
          <wp:inline distT="0" distB="0" distL="114300" distR="114300">
            <wp:extent cx="5267325" cy="1850390"/>
            <wp:effectExtent l="0" t="0" r="9525" b="1651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9"/>
                    <a:stretch>
                      <a:fillRect/>
                    </a:stretch>
                  </pic:blipFill>
                  <pic:spPr>
                    <a:xfrm>
                      <a:off x="0" y="0"/>
                      <a:ext cx="5267325" cy="1850390"/>
                    </a:xfrm>
                    <a:prstGeom prst="rect">
                      <a:avLst/>
                    </a:prstGeom>
                    <a:noFill/>
                    <a:ln>
                      <a:noFill/>
                    </a:ln>
                  </pic:spPr>
                </pic:pic>
              </a:graphicData>
            </a:graphic>
          </wp:inline>
        </w:drawing>
      </w:r>
    </w:p>
    <w:p>
      <w:pPr>
        <w:spacing w:line="360" w:lineRule="auto"/>
        <w:ind w:firstLine="420"/>
      </w:pPr>
      <w:r>
        <w:rPr>
          <w:rFonts w:hint="eastAsia"/>
          <w:sz w:val="24"/>
          <w:szCs w:val="24"/>
        </w:rPr>
        <w:t>该页面可以下载职工基数调整批量导入模板。</w:t>
      </w:r>
    </w:p>
    <w:p>
      <w:pPr>
        <w:spacing w:line="360" w:lineRule="auto"/>
        <w:ind w:firstLine="480" w:firstLineChars="200"/>
        <w:rPr>
          <w:rFonts w:ascii="宋体" w:hAnsi="宋体" w:cs="宋体"/>
          <w:sz w:val="24"/>
        </w:rPr>
      </w:pPr>
      <w:r>
        <w:rPr>
          <w:rFonts w:hint="eastAsia" w:ascii="宋体" w:hAnsi="宋体" w:cs="宋体"/>
          <w:sz w:val="24"/>
        </w:rPr>
        <w:t>2、该页面中，点击“选择文件”按钮，进入到该文件所在地址进行选择，最后点击“导入”按钮，系统会自动判断数据的有效性、完整性并进行提示。导入的数据显示在变更清册数据列表栏内，根据验证描述选择符合要求的数据，点击“提交”按钮，系统弹出“业务办理成功”的提示；</w:t>
      </w:r>
      <w:r>
        <w:rPr>
          <w:rFonts w:hint="eastAsia"/>
          <w:sz w:val="24"/>
          <w:szCs w:val="24"/>
        </w:rPr>
        <w:t>在未点击提交之前，可在该页面中点击“删除”按钮可对选中数据进行业务的撤销操作。</w:t>
      </w:r>
    </w:p>
    <w:p>
      <w:pPr>
        <w:spacing w:line="360" w:lineRule="auto"/>
        <w:ind w:firstLine="420"/>
      </w:pPr>
      <w:r>
        <w:drawing>
          <wp:anchor distT="0" distB="0" distL="114300" distR="114300" simplePos="0" relativeHeight="251659264" behindDoc="0" locked="0" layoutInCell="1" allowOverlap="1">
            <wp:simplePos x="0" y="0"/>
            <wp:positionH relativeFrom="column">
              <wp:align>left</wp:align>
            </wp:positionH>
            <wp:positionV relativeFrom="paragraph">
              <wp:posOffset>297180</wp:posOffset>
            </wp:positionV>
            <wp:extent cx="6299835" cy="1206500"/>
            <wp:effectExtent l="0" t="0" r="5715" b="12700"/>
            <wp:wrapSquare wrapText="right"/>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6299835" cy="1206500"/>
                    </a:xfrm>
                    <a:prstGeom prst="rect">
                      <a:avLst/>
                    </a:prstGeom>
                    <a:noFill/>
                    <a:ln>
                      <a:noFill/>
                    </a:ln>
                  </pic:spPr>
                </pic:pic>
              </a:graphicData>
            </a:graphic>
          </wp:anchor>
        </w:drawing>
      </w:r>
    </w:p>
    <w:p>
      <w:pPr>
        <w:numPr>
          <w:ilvl w:val="0"/>
          <w:numId w:val="2"/>
        </w:numPr>
        <w:ind w:left="0" w:leftChars="0" w:firstLine="420" w:firstLineChars="0"/>
        <w:rPr>
          <w:rFonts w:hint="eastAsia"/>
          <w:sz w:val="24"/>
          <w:szCs w:val="24"/>
        </w:rPr>
      </w:pPr>
      <w:r>
        <w:rPr>
          <w:rFonts w:hint="eastAsia"/>
          <w:sz w:val="24"/>
          <w:szCs w:val="24"/>
        </w:rPr>
        <w:t>若中心审核未通过，可在首页——我要查询——</w:t>
      </w:r>
      <w:r>
        <w:fldChar w:fldCharType="begin"/>
      </w:r>
      <w:r>
        <w:instrText xml:space="preserve"> HYPERLINK "http://192.168.100.73:8080/netface/local/corp/query/completedTask.do?menuid=112181" </w:instrText>
      </w:r>
      <w:r>
        <w:fldChar w:fldCharType="separate"/>
      </w:r>
      <w:r>
        <w:rPr>
          <w:rFonts w:hint="eastAsia"/>
          <w:sz w:val="24"/>
          <w:szCs w:val="24"/>
        </w:rPr>
        <w:t>网上业务办理查询</w:t>
      </w:r>
      <w:r>
        <w:rPr>
          <w:rFonts w:hint="eastAsia"/>
          <w:sz w:val="24"/>
          <w:szCs w:val="24"/>
        </w:rPr>
        <w:fldChar w:fldCharType="end"/>
      </w:r>
      <w:r>
        <w:rPr>
          <w:rFonts w:hint="eastAsia"/>
          <w:sz w:val="24"/>
          <w:szCs w:val="24"/>
        </w:rPr>
        <w:t>中，选择“年度调基”查询业务进度及未通过原因（也可在手机短信中查看未通过原因），根据未通过原因整改后重新提交至中心审核，直至审核通过。</w:t>
      </w:r>
    </w:p>
    <w:p>
      <w:pPr>
        <w:widowControl w:val="0"/>
        <w:numPr>
          <w:ilvl w:val="0"/>
          <w:numId w:val="0"/>
        </w:numPr>
        <w:jc w:val="both"/>
        <w:rPr>
          <w:rFonts w:hint="eastAsia"/>
          <w:sz w:val="24"/>
          <w:szCs w:val="24"/>
        </w:rPr>
      </w:pPr>
    </w:p>
    <w:p>
      <w:pPr>
        <w:widowControl w:val="0"/>
        <w:numPr>
          <w:ilvl w:val="0"/>
          <w:numId w:val="0"/>
        </w:numPr>
        <w:jc w:val="both"/>
        <w:rPr>
          <w:rFonts w:hint="eastAsia"/>
          <w:sz w:val="24"/>
          <w:szCs w:val="24"/>
        </w:rPr>
      </w:pPr>
    </w:p>
    <w:p>
      <w:pPr>
        <w:pStyle w:val="2"/>
        <w:numPr>
          <w:ilvl w:val="1"/>
          <w:numId w:val="0"/>
        </w:numPr>
      </w:pPr>
      <w:bookmarkStart w:id="0" w:name="_Toc58944185"/>
      <w:bookmarkStart w:id="1" w:name="_Toc74121368"/>
      <w:r>
        <w:rPr>
          <w:rFonts w:hint="eastAsia"/>
          <w:lang w:val="en-US" w:eastAsia="zh-CN"/>
        </w:rPr>
        <w:t>二、</w:t>
      </w:r>
      <w:r>
        <w:rPr>
          <w:rFonts w:hint="eastAsia"/>
        </w:rPr>
        <w:t>缴存基数核定</w:t>
      </w:r>
      <w:bookmarkEnd w:id="0"/>
      <w:bookmarkEnd w:id="1"/>
    </w:p>
    <w:p>
      <w:pPr>
        <w:pStyle w:val="3"/>
        <w:numPr>
          <w:ilvl w:val="0"/>
          <w:numId w:val="0"/>
        </w:numPr>
        <w:tabs>
          <w:tab w:val="left" w:pos="864"/>
        </w:tabs>
        <w:spacing w:after="0" w:line="360" w:lineRule="auto"/>
      </w:pPr>
      <w:r>
        <w:rPr>
          <w:rFonts w:hint="eastAsia"/>
        </w:rPr>
        <w:t>业务描述</w:t>
      </w:r>
    </w:p>
    <w:p>
      <w:pPr>
        <w:numPr>
          <w:ilvl w:val="0"/>
          <w:numId w:val="0"/>
        </w:numPr>
        <w:ind w:firstLine="480" w:firstLineChars="200"/>
        <w:rPr>
          <w:rFonts w:hint="eastAsia"/>
          <w:sz w:val="24"/>
          <w:szCs w:val="24"/>
        </w:rPr>
      </w:pPr>
      <w:r>
        <w:rPr>
          <w:rFonts w:hint="eastAsia"/>
          <w:sz w:val="24"/>
          <w:szCs w:val="24"/>
        </w:rPr>
        <w:t>国有企业、机关单位、事业单位的，需填录“基数核定表”数据，“基数核定表”个人工资合计数须与个人缴存基数完全相符。</w:t>
      </w:r>
    </w:p>
    <w:p>
      <w:pPr>
        <w:pStyle w:val="3"/>
        <w:numPr>
          <w:ilvl w:val="0"/>
          <w:numId w:val="0"/>
        </w:numPr>
        <w:tabs>
          <w:tab w:val="left" w:pos="864"/>
        </w:tabs>
        <w:spacing w:after="0" w:line="360" w:lineRule="auto"/>
      </w:pPr>
      <w:r>
        <w:rPr>
          <w:rFonts w:hint="eastAsia"/>
        </w:rPr>
        <w:t>功能导向图</w:t>
      </w:r>
    </w:p>
    <w:p>
      <w:r>
        <w:drawing>
          <wp:inline distT="0" distB="0" distL="114300" distR="114300">
            <wp:extent cx="4259580" cy="2111375"/>
            <wp:effectExtent l="0" t="0" r="7620" b="317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4259580" cy="2111375"/>
                    </a:xfrm>
                    <a:prstGeom prst="rect">
                      <a:avLst/>
                    </a:prstGeom>
                    <a:noFill/>
                    <a:ln>
                      <a:noFill/>
                    </a:ln>
                  </pic:spPr>
                </pic:pic>
              </a:graphicData>
            </a:graphic>
          </wp:inline>
        </w:drawing>
      </w:r>
    </w:p>
    <w:p>
      <w:pPr>
        <w:pStyle w:val="3"/>
        <w:numPr>
          <w:ilvl w:val="0"/>
          <w:numId w:val="0"/>
        </w:numPr>
        <w:tabs>
          <w:tab w:val="left" w:pos="864"/>
        </w:tabs>
        <w:spacing w:after="0" w:line="360" w:lineRule="auto"/>
      </w:pPr>
      <w:r>
        <w:rPr>
          <w:rFonts w:hint="eastAsia"/>
        </w:rPr>
        <w:t>具体操作</w:t>
      </w:r>
    </w:p>
    <w:p>
      <w:pPr>
        <w:numPr>
          <w:ilvl w:val="0"/>
          <w:numId w:val="0"/>
        </w:numPr>
        <w:ind w:firstLine="480" w:firstLineChars="200"/>
        <w:rPr>
          <w:rFonts w:hint="eastAsia"/>
          <w:sz w:val="24"/>
          <w:szCs w:val="24"/>
        </w:rPr>
      </w:pPr>
      <w:r>
        <w:rPr>
          <w:rFonts w:hint="eastAsia"/>
          <w:sz w:val="24"/>
          <w:szCs w:val="24"/>
        </w:rPr>
        <w:t>菜单地址：首页——我要办理——缴存基数核定：</w:t>
      </w:r>
      <w:bookmarkStart w:id="2" w:name="_Toc63435738"/>
    </w:p>
    <w:p/>
    <w:bookmarkEnd w:id="2"/>
    <w:p/>
    <w:p>
      <w:pPr>
        <w:jc w:val="left"/>
      </w:pPr>
      <w:r>
        <w:drawing>
          <wp:inline distT="0" distB="0" distL="114300" distR="114300">
            <wp:extent cx="5441315" cy="5614670"/>
            <wp:effectExtent l="0" t="0" r="6985" b="5080"/>
            <wp:docPr id="12" name="图片 2" descr="2175a22b95553d7e053ff70b364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2175a22b95553d7e053ff70b3643571"/>
                    <pic:cNvPicPr>
                      <a:picLocks noChangeAspect="1"/>
                    </pic:cNvPicPr>
                  </pic:nvPicPr>
                  <pic:blipFill>
                    <a:blip r:embed="rId12"/>
                    <a:stretch>
                      <a:fillRect/>
                    </a:stretch>
                  </pic:blipFill>
                  <pic:spPr>
                    <a:xfrm>
                      <a:off x="0" y="0"/>
                      <a:ext cx="5441315" cy="5614670"/>
                    </a:xfrm>
                    <a:prstGeom prst="rect">
                      <a:avLst/>
                    </a:prstGeom>
                    <a:noFill/>
                    <a:ln>
                      <a:noFill/>
                    </a:ln>
                  </pic:spPr>
                </pic:pic>
              </a:graphicData>
            </a:graphic>
          </wp:inline>
        </w:drawing>
      </w:r>
    </w:p>
    <w:p>
      <w:pPr>
        <w:jc w:val="left"/>
      </w:pPr>
      <w:r>
        <w:drawing>
          <wp:inline distT="0" distB="0" distL="114300" distR="114300">
            <wp:extent cx="2940685" cy="1480185"/>
            <wp:effectExtent l="0" t="0" r="12065" b="571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3"/>
                    <a:stretch>
                      <a:fillRect/>
                    </a:stretch>
                  </pic:blipFill>
                  <pic:spPr>
                    <a:xfrm>
                      <a:off x="0" y="0"/>
                      <a:ext cx="2940685" cy="1480185"/>
                    </a:xfrm>
                    <a:prstGeom prst="rect">
                      <a:avLst/>
                    </a:prstGeom>
                    <a:noFill/>
                    <a:ln>
                      <a:noFill/>
                    </a:ln>
                  </pic:spPr>
                </pic:pic>
              </a:graphicData>
            </a:graphic>
          </wp:inline>
        </w:drawing>
      </w:r>
    </w:p>
    <w:p>
      <w:pPr>
        <w:numPr>
          <w:ilvl w:val="0"/>
          <w:numId w:val="0"/>
        </w:numPr>
        <w:ind w:firstLine="480" w:firstLineChars="200"/>
        <w:rPr>
          <w:rFonts w:hint="eastAsia"/>
          <w:sz w:val="24"/>
          <w:szCs w:val="24"/>
        </w:rPr>
      </w:pPr>
      <w:r>
        <w:rPr>
          <w:rFonts w:hint="eastAsia"/>
          <w:sz w:val="24"/>
          <w:szCs w:val="24"/>
        </w:rPr>
        <w:t>1.可以在上方输入职工账号等信息查询，也可在职工数据列表中双击选中需要核定的数据（若单位人数较多，可选择核定结果为“否”的，进行筛选，也可在页面中间“需核定人员导入按钮”里导出需要核定的人员名单，填写后批量导入）录入基数核定明细，合计工资需与职工缴存基数一致，然后点击新增，全部职工信息调整完且上传相应的档案资料后点击提交即可。</w:t>
      </w:r>
    </w:p>
    <w:p>
      <w:pPr>
        <w:numPr>
          <w:ilvl w:val="0"/>
          <w:numId w:val="0"/>
        </w:numPr>
        <w:ind w:firstLine="480" w:firstLineChars="200"/>
        <w:rPr>
          <w:rFonts w:hint="eastAsia"/>
          <w:sz w:val="24"/>
          <w:szCs w:val="24"/>
        </w:rPr>
      </w:pPr>
      <w:r>
        <w:rPr>
          <w:rFonts w:hint="eastAsia"/>
          <w:sz w:val="24"/>
          <w:szCs w:val="24"/>
        </w:rPr>
        <w:t>2.也可在基数核定明细表中选择“批量导入”，先选择模板下载，录入职工基数明细信息后点击选择文件导入，上传相应的档案资料然后提交即可。</w:t>
      </w:r>
    </w:p>
    <w:p>
      <w:pPr>
        <w:numPr>
          <w:ilvl w:val="0"/>
          <w:numId w:val="0"/>
        </w:numPr>
        <w:ind w:firstLine="480" w:firstLineChars="200"/>
      </w:pPr>
      <w:r>
        <w:rPr>
          <w:rFonts w:hint="eastAsia"/>
          <w:sz w:val="24"/>
          <w:szCs w:val="24"/>
        </w:rPr>
        <w:t>3.只有做了年度调基才需要上传加盖单位公章的年度缴存清册，基数核定表是只要做了缴存基数核定业务都需要上传，可在该页面中间导出模板，填写加盖公章后拍照上传。</w:t>
      </w:r>
    </w:p>
    <w:p>
      <w:pPr>
        <w:jc w:val="left"/>
      </w:pPr>
    </w:p>
    <w:p>
      <w:pPr>
        <w:rPr>
          <w:b/>
          <w:sz w:val="28"/>
        </w:rPr>
      </w:pPr>
      <w:r>
        <w:rPr>
          <w:rFonts w:hint="eastAsia"/>
          <w:b/>
          <w:sz w:val="28"/>
        </w:rPr>
        <w:t>系统提示：“存在[x]名职工的缴存基数和职工明细不符”</w:t>
      </w:r>
    </w:p>
    <w:p>
      <w:pPr>
        <w:numPr>
          <w:ilvl w:val="0"/>
          <w:numId w:val="0"/>
        </w:numPr>
        <w:ind w:firstLine="420" w:firstLineChars="200"/>
      </w:pPr>
      <w:r>
        <w:rPr>
          <w:rFonts w:hint="eastAsia"/>
        </w:rPr>
        <w:t>原因和解决办法：是因为没有录入基数核定表，需在我要办理——缴存基数核定中，录入基数核定明细，合计工资需与职工缴存基数一致。也可在基数核定明细表中选择“批量导入”，先选择模板下载，录入职工信息后点击选择文件导入。</w:t>
      </w:r>
    </w:p>
    <w:p>
      <w:r>
        <w:rPr>
          <w:rFonts w:hint="eastAsia"/>
        </w:rPr>
        <w:t>提示个人合计工资不等于缴存基数，可能是批量导入表格的格式不对，系统识别不出来，导致数据未导入成功，职工的个人合计工资需等于职工的缴存基数，批量导入模板里导出的数据不能改动，也不能删除第一行，带“</w:t>
      </w:r>
      <w:r>
        <w:rPr>
          <w:rFonts w:hint="eastAsia"/>
          <w:color w:val="FF0000"/>
        </w:rPr>
        <w:t>*</w:t>
      </w:r>
      <w:r>
        <w:rPr>
          <w:rFonts w:hint="eastAsia"/>
        </w:rPr>
        <w:t>”的是必填项，没有数据的可以写0，但是不能不写，数字最好设置成文本格式。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F87A2"/>
    <w:multiLevelType w:val="multilevel"/>
    <w:tmpl w:val="56DF87A2"/>
    <w:lvl w:ilvl="0" w:tentative="0">
      <w:start w:val="1"/>
      <w:numFmt w:val="decimal"/>
      <w:lvlText w:val="%1."/>
      <w:lvlJc w:val="left"/>
      <w:pPr>
        <w:tabs>
          <w:tab w:val="left" w:pos="432"/>
        </w:tabs>
        <w:ind w:left="432" w:hanging="432"/>
      </w:pPr>
      <w:rPr>
        <w:rFonts w:hint="default"/>
        <w:sz w:val="36"/>
        <w:szCs w:val="36"/>
      </w:rPr>
    </w:lvl>
    <w:lvl w:ilvl="1" w:tentative="0">
      <w:start w:val="1"/>
      <w:numFmt w:val="decimal"/>
      <w:pStyle w:val="2"/>
      <w:lvlText w:val="%1.%2."/>
      <w:lvlJc w:val="left"/>
      <w:pPr>
        <w:tabs>
          <w:tab w:val="left" w:pos="575"/>
        </w:tabs>
        <w:ind w:left="575" w:hanging="57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3"/>
      <w:lvlText w:val="%1.%2.%3.%4."/>
      <w:lvlJc w:val="left"/>
      <w:pPr>
        <w:tabs>
          <w:tab w:val="left" w:pos="1998"/>
        </w:tabs>
        <w:ind w:left="1998"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1">
    <w:nsid w:val="56E955E5"/>
    <w:multiLevelType w:val="singleLevel"/>
    <w:tmpl w:val="56E955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E1D49"/>
    <w:rsid w:val="11B7067C"/>
    <w:rsid w:val="202E1D49"/>
    <w:rsid w:val="28B944AA"/>
    <w:rsid w:val="46F30593"/>
    <w:rsid w:val="48FE0860"/>
    <w:rsid w:val="573D4364"/>
    <w:rsid w:val="5D1B141A"/>
    <w:rsid w:val="5DCD6EB9"/>
    <w:rsid w:val="65865106"/>
    <w:rsid w:val="66C329A9"/>
    <w:rsid w:val="7BD83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Calibri Light" w:hAnsi="Calibri Light"/>
      <w:b/>
      <w:bCs/>
      <w:sz w:val="32"/>
      <w:szCs w:val="32"/>
    </w:rPr>
  </w:style>
  <w:style w:type="paragraph" w:styleId="3">
    <w:name w:val="heading 4"/>
    <w:basedOn w:val="1"/>
    <w:next w:val="1"/>
    <w:qFormat/>
    <w:uiPriority w:val="0"/>
    <w:pPr>
      <w:keepNext/>
      <w:keepLines/>
      <w:numPr>
        <w:ilvl w:val="3"/>
        <w:numId w:val="1"/>
      </w:numPr>
      <w:spacing w:before="280" w:after="290" w:line="376" w:lineRule="auto"/>
      <w:outlineLvl w:val="3"/>
    </w:pPr>
    <w:rPr>
      <w:rFonts w:ascii="Calibri Light" w:hAnsi="Calibri Light"/>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2021-06-25T09:41:00Z</dcterms:created>
  <dc:creator>DaiMinghao</dc:creator>
  <cp:lastModifiedBy>DaiMinghao</cp:lastModifiedBy>
  <dcterms:modified xsi:type="dcterms:W3CDTF">2021-06-28T05:47:48Z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507F5A75D39445B29E3C0AF9A09A5E4D</vt:lpwstr>
  </property>
</Properties>
</file>