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topLinePunct/>
        <w:autoSpaceDE w:val="0"/>
        <w:autoSpaceDN w:val="0"/>
        <w:adjustRightInd w:val="0"/>
        <w:snapToGrid w:val="0"/>
        <w:spacing w:line="560" w:lineRule="exact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/>
        <w:overflowPunct w:val="0"/>
        <w:topLinePunct/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lang w:val="en"/>
        </w:rPr>
      </w:pPr>
    </w:p>
    <w:p>
      <w:pPr>
        <w:spacing w:line="596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当前职工医保普通门诊统筹基金使用问题清单</w:t>
      </w:r>
    </w:p>
    <w:p>
      <w:pPr>
        <w:spacing w:line="596" w:lineRule="exact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一、政策宣传培训不深入、不精准，甚至部分医务人员存在错误认知，错误解读普通门诊统筹基金使用对象和支付范围。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二、未按照规定建立电子病历（处方）系统，或医师未规范书写电子病历、开具电子处方，未书写及留存诊疗购药相关记录，未为参保患者建立就医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>购药档案。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三、医保定点医药机构与医保信息系统对接不到位，医药机构未按照规定标准真实、全面、准确、实时上传医保结算和“进销存”数据，以及电子档案相关信息。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四、医保定点医药机构未履行基金使用监管主体责任。未建立智能监管和自查自纠工作机制，不能实现内控自律管理。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sz w:val="32"/>
          <w:szCs w:val="32"/>
        </w:rPr>
        <w:t>分解费用与</w:t>
      </w:r>
      <w:r>
        <w:rPr>
          <w:rFonts w:ascii="Times New Roman" w:hAnsi="Times New Roman" w:eastAsia="仿宋_GB2312"/>
          <w:sz w:val="32"/>
          <w:szCs w:val="32"/>
        </w:rPr>
        <w:t>重复享受待遇。在患者住院期间，要求患者在门诊缴费，或要求患者到药店购药、购买医用耗材，纳入普通门诊统筹基金结算</w:t>
      </w:r>
      <w:r>
        <w:rPr>
          <w:rFonts w:hint="eastAsia" w:ascii="Times New Roman" w:hAnsi="Times New Roman" w:eastAsia="仿宋_GB2312"/>
          <w:sz w:val="32"/>
          <w:szCs w:val="32"/>
        </w:rPr>
        <w:t>。重复申报参保患者已经享受慢特病门诊待遇或“双通道”管理药品待遇的医药费用。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六、不执行实名就医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>购药管理规定，不核验患者参保身份，将患者家人或他人门诊就医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>购药相关费用冒名纳入职工医保普通门诊统筹基金结算。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七、门诊就医</w:t>
      </w:r>
      <w:r>
        <w:rPr>
          <w:rFonts w:hint="eastAsia" w:ascii="Times New Roman" w:hAnsi="Times New Roman" w:eastAsia="仿宋_GB2312"/>
          <w:sz w:val="32"/>
          <w:szCs w:val="32"/>
        </w:rPr>
        <w:t>与</w:t>
      </w:r>
      <w:r>
        <w:rPr>
          <w:rFonts w:ascii="Times New Roman" w:hAnsi="Times New Roman" w:eastAsia="仿宋_GB2312"/>
          <w:sz w:val="32"/>
          <w:szCs w:val="32"/>
        </w:rPr>
        <w:t>购药指征把关不严。为未患病参保人员预防性“备药”，将参保人员养生保健、非功能性医疗康复服务相关费用纳入普通门诊统筹基金结算。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八、不遵守国家、省及地方医疗服务价格管理规定以及医疗服务协议约定，在医药服务中违规收费。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九、违反诊疗规范过度诊疗、过度检查、分解处方、超量开药、重复开药，或者提供其他不必要的诊疗项目或实施与疾病关联性不高的诊疗、检查项目等行为。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ind w:firstLine="640" w:firstLineChars="200"/>
        <w:textAlignment w:val="auto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十、通过</w:t>
      </w:r>
      <w:r>
        <w:rPr>
          <w:rFonts w:hint="eastAsia" w:ascii="Times New Roman" w:hAnsi="Times New Roman" w:eastAsia="仿宋_GB2312"/>
          <w:sz w:val="32"/>
          <w:szCs w:val="32"/>
        </w:rPr>
        <w:t>擅自减免自付费用等手段，诱导参保人员门诊就医与购药；虚构</w:t>
      </w:r>
      <w:r>
        <w:rPr>
          <w:rFonts w:ascii="Times New Roman" w:hAnsi="Times New Roman" w:eastAsia="仿宋_GB2312"/>
          <w:sz w:val="32"/>
          <w:szCs w:val="32"/>
        </w:rPr>
        <w:t>医疗服务项目和伪造变造医学文书、会计凭证、电子信息等有关资料，骗取医疗保障基金。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A2EFE"/>
    <w:rsid w:val="076A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2023-05-18T07:47:00Z</dcterms:created>
  <dc:creator>彭小玲</dc:creator>
  <cp:lastModifiedBy>彭小玲</cp:lastModifiedBy>
  <dcterms:modified xsi:type="dcterms:W3CDTF">2023-05-18T07:48:11Z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