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textAlignment w:val="auto"/>
        <w:rPr>
          <w:rFonts w:ascii="Times New Roman" w:hAnsi="Times New Roman" w:eastAsia="文星简小标宋"/>
          <w:color w:val="FF0000"/>
          <w:spacing w:val="-12"/>
          <w:w w:val="64"/>
          <w:sz w:val="92"/>
          <w:szCs w:val="92"/>
        </w:rPr>
      </w:pPr>
    </w:p>
    <w:p>
      <w:pPr>
        <w:tabs>
          <w:tab w:val="left" w:pos="606"/>
        </w:tabs>
        <w:jc w:val="center"/>
        <w:rPr>
          <w:rFonts w:ascii="Times New Roman" w:hAnsi="Times New Roman" w:eastAsia="方正小标宋简体"/>
          <w:color w:val="FF0000"/>
          <w:spacing w:val="40"/>
          <w:w w:val="50"/>
          <w:sz w:val="106"/>
          <w:szCs w:val="106"/>
        </w:rPr>
      </w:pPr>
      <w:r>
        <w:rPr>
          <w:rFonts w:hint="eastAsia" w:ascii="Times New Roman" w:hAnsi="Times New Roman" w:eastAsia="方正小标宋简体"/>
          <w:color w:val="FF0000"/>
          <w:spacing w:val="40"/>
          <w:w w:val="66"/>
          <w:sz w:val="112"/>
          <w:szCs w:val="112"/>
        </w:rPr>
        <w:t>天津市医疗保障局文件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rPr>
        <w:t>规字</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号</w:t>
      </w:r>
    </w:p>
    <w:p>
      <w:pPr>
        <w:spacing w:line="578" w:lineRule="exact"/>
        <w:rPr>
          <w:rFonts w:ascii="Times New Roman" w:hAnsi="Times New Roman"/>
          <w:b/>
          <w:kern w:val="0"/>
          <w:sz w:val="34"/>
        </w:rPr>
      </w:pPr>
      <w:r>
        <w:rPr>
          <w:rFonts w:ascii="Times New Roman" w:hAnsi="Times New Roman" w:eastAsia="文星简小标宋"/>
          <w:bCs/>
          <w:sz w:val="44"/>
          <w:szCs w:val="44"/>
        </w:rPr>
        <w:pict>
          <v:line id="_x0000_s1057" o:spid="_x0000_s1057" o:spt="20" style="position:absolute;left:0pt;margin-left:-5.95pt;margin-top:4.35pt;height:0pt;width:453.25pt;z-index:251656192;mso-width-relative:page;mso-height-relative:page;" stroked="t" coordsize="21600,21600">
            <v:path arrowok="t"/>
            <v:fill focussize="0,0"/>
            <v:stroke weight="2.25pt" color="#FF0000"/>
            <v:imagedata o:title=""/>
            <o:lock v:ext="edit"/>
          </v:line>
        </w:pict>
      </w:r>
    </w:p>
    <w:p>
      <w:pPr>
        <w:spacing w:line="578"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市医保局关于印发《天津市基本医疗保险参保人员异地就医结算管理办法》的通知</w:t>
      </w:r>
    </w:p>
    <w:p>
      <w:pPr>
        <w:spacing w:line="578" w:lineRule="exact"/>
        <w:jc w:val="center"/>
        <w:rPr>
          <w:rFonts w:ascii="Times New Roman" w:hAnsi="Times New Roman" w:eastAsia="方正小标宋简体"/>
          <w:kern w:val="0"/>
          <w:sz w:val="44"/>
          <w:szCs w:val="44"/>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r>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各区医保局，各定点医药机构，有关单位：</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为完善异地就医结算制度，保障基本医疗保险参保人员异地就医需求，</w:t>
      </w:r>
      <w:r>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经2022年第48次</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局长办公会议审议通过，现</w:t>
      </w:r>
      <w:r>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将《天津市基本医疗保险参保人员异地就医结算管理办法》</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印发给你们，请</w:t>
      </w:r>
      <w:r>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结合实际认真贯彻落实</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p>
    <w:p>
      <w:pPr>
        <w:pStyle w:val="2"/>
        <w:keepNext w:val="0"/>
        <w:keepLines w:val="0"/>
        <w:pageBreakBefore w:val="0"/>
        <w:widowControl w:val="0"/>
        <w:kinsoku/>
        <w:wordWrap w:val="0"/>
        <w:overflowPunct/>
        <w:topLinePunct w:val="0"/>
        <w:autoSpaceDE w:val="0"/>
        <w:autoSpaceDN w:val="0"/>
        <w:bidi w:val="0"/>
        <w:adjustRightInd w:val="0"/>
        <w:snapToGrid/>
        <w:spacing w:line="560" w:lineRule="exact"/>
        <w:ind w:firstLine="744" w:firstLineChars="200"/>
        <w:jc w:val="right"/>
        <w:textAlignment w:val="auto"/>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r>
        <w:rPr>
          <w:rFonts w:hint="eastAsia" w:ascii="Times New Roman" w:hAnsi="Times New Roman" w:eastAsia="仿宋_GB2312" w:cs="仿宋_GB2312"/>
          <w:b w:val="0"/>
          <w:bCs/>
          <w:caps w:val="0"/>
          <w:smallCaps w:val="0"/>
          <w:color w:val="auto"/>
          <w:spacing w:val="26"/>
          <w:kern w:val="0"/>
          <w:sz w:val="32"/>
          <w:szCs w:val="32"/>
          <w:shd w:val="clear" w:color="auto" w:fill="auto"/>
          <w:fitText w:val="2560" w:id="-1243612034"/>
          <w:vertAlign w:val="baseline"/>
          <w:lang w:val="en-US" w:eastAsia="zh-CN" w:bidi="ar-SA"/>
        </w:rPr>
        <w:t>2022年12月2</w:t>
      </w:r>
      <w:r>
        <w:rPr>
          <w:rFonts w:hint="eastAsia" w:ascii="Times New Roman" w:eastAsia="仿宋_GB2312" w:cs="仿宋_GB2312"/>
          <w:b w:val="0"/>
          <w:bCs/>
          <w:caps w:val="0"/>
          <w:smallCaps w:val="0"/>
          <w:color w:val="auto"/>
          <w:spacing w:val="26"/>
          <w:kern w:val="0"/>
          <w:sz w:val="32"/>
          <w:szCs w:val="32"/>
          <w:shd w:val="clear" w:color="auto" w:fill="auto"/>
          <w:fitText w:val="2560" w:id="-1243612034"/>
          <w:vertAlign w:val="baseline"/>
          <w:lang w:val="en-US" w:eastAsia="zh-CN" w:bidi="ar-SA"/>
        </w:rPr>
        <w:t>8</w:t>
      </w:r>
      <w:bookmarkStart w:id="0" w:name="_GoBack"/>
      <w:bookmarkEnd w:id="0"/>
      <w:r>
        <w:rPr>
          <w:rFonts w:hint="eastAsia" w:ascii="Times New Roman" w:hAnsi="Times New Roman" w:eastAsia="仿宋_GB2312" w:cs="仿宋_GB2312"/>
          <w:b w:val="0"/>
          <w:bCs/>
          <w:caps w:val="0"/>
          <w:smallCaps w:val="0"/>
          <w:color w:val="auto"/>
          <w:spacing w:val="4"/>
          <w:kern w:val="0"/>
          <w:sz w:val="32"/>
          <w:szCs w:val="32"/>
          <w:shd w:val="clear" w:color="auto" w:fill="auto"/>
          <w:fitText w:val="2560" w:id="-1243612034"/>
          <w:vertAlign w:val="baseline"/>
          <w:lang w:val="en-US" w:eastAsia="zh-CN" w:bidi="ar-SA"/>
        </w:rPr>
        <w:t>日</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r>
        <w:rPr>
          <w:rFonts w:hint="default"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t>（此件主动公开）</w:t>
      </w:r>
    </w:p>
    <w:p>
      <w:pPr>
        <w:widowControl/>
        <w:jc w:val="left"/>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bidi="ar-SA"/>
        </w:rPr>
      </w:pPr>
    </w:p>
    <w:p>
      <w:pPr>
        <w:spacing w:line="578" w:lineRule="exact"/>
        <w:rPr>
          <w:rFonts w:hint="eastAsia" w:ascii="Times New Roman" w:hAnsi="Times New Roman" w:eastAsia="仿宋_GB2312"/>
          <w:kern w:val="0"/>
          <w:sz w:val="36"/>
          <w:szCs w:val="36"/>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方正小标宋简体" w:cs="方正小标宋简体"/>
          <w:b w:val="0"/>
          <w:bCs/>
          <w:caps w:val="0"/>
          <w:smallCaps w:val="0"/>
          <w:color w:val="auto"/>
          <w:kern w:val="2"/>
          <w:sz w:val="44"/>
          <w:szCs w:val="44"/>
          <w:shd w:val="clear" w:color="auto" w:fill="auto"/>
          <w:vertAlign w:val="baseline"/>
          <w:lang w:val="en-US" w:eastAsia="zh-CN"/>
        </w:rPr>
      </w:pPr>
      <w:r>
        <w:rPr>
          <w:rFonts w:hint="eastAsia" w:ascii="Times New Roman" w:hAnsi="Times New Roman" w:eastAsia="方正小标宋简体" w:cs="方正小标宋简体"/>
          <w:b w:val="0"/>
          <w:bCs/>
          <w:caps w:val="0"/>
          <w:smallCaps w:val="0"/>
          <w:color w:val="auto"/>
          <w:kern w:val="2"/>
          <w:sz w:val="44"/>
          <w:szCs w:val="44"/>
          <w:shd w:val="clear" w:color="auto" w:fill="auto"/>
          <w:vertAlign w:val="baseline"/>
          <w:lang w:val="en-US" w:eastAsia="zh-CN"/>
        </w:rPr>
        <w:t>天津市基本医疗保险参保人员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方正小标宋简体" w:cs="方正小标宋简体"/>
          <w:caps w:val="0"/>
          <w:smallCaps w:val="0"/>
          <w:color w:val="auto"/>
          <w:sz w:val="44"/>
          <w:szCs w:val="44"/>
          <w:shd w:val="clear" w:color="auto" w:fill="auto"/>
          <w:vertAlign w:val="baseline"/>
        </w:rPr>
      </w:pPr>
      <w:r>
        <w:rPr>
          <w:rFonts w:hint="eastAsia" w:ascii="Times New Roman" w:hAnsi="Times New Roman" w:eastAsia="方正小标宋简体" w:cs="方正小标宋简体"/>
          <w:b w:val="0"/>
          <w:bCs/>
          <w:caps w:val="0"/>
          <w:smallCaps w:val="0"/>
          <w:color w:val="auto"/>
          <w:kern w:val="2"/>
          <w:sz w:val="44"/>
          <w:szCs w:val="44"/>
          <w:shd w:val="clear" w:color="auto" w:fill="auto"/>
          <w:vertAlign w:val="baseline"/>
          <w:lang w:val="en-US" w:eastAsia="zh-CN"/>
        </w:rPr>
        <w:t>异地就医结算管理办法</w:t>
      </w:r>
    </w:p>
    <w:p>
      <w:pPr>
        <w:pStyle w:val="15"/>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ascii="Times New Roman" w:hAnsi="Times New Roman" w:eastAsia="宋体" w:cs="Calibri"/>
          <w:caps w:val="0"/>
          <w:smallCaps w:val="0"/>
          <w:color w:val="auto"/>
          <w:sz w:val="32"/>
          <w:szCs w:val="32"/>
          <w:shd w:val="clear" w:color="auto" w:fill="auto"/>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第一章 总则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第一条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为完善异地就医结算制度，保障我市基本医疗保险参保人员异地就医需求，规范运行管理，提升服务水平，根据国家和本市有关规定，结合工作实际，制定本办法。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33" w:firstLineChars="198"/>
        <w:jc w:val="left"/>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第二条 </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本办法适用于天津市职工基本医疗保险、城乡居民基本医疗保险</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参保人员，在本市行政区域以外就医（以下简称“异地就医”），所发生的医疗费用结算、管理、服务。</w:t>
      </w:r>
    </w:p>
    <w:p>
      <w:pPr>
        <w:pStyle w:val="15"/>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60"/>
        <w:jc w:val="both"/>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第三条 </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异地就医结算按照</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参保地待遇、就医地管理、就医地和参保地监管</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的原则，坚持政策优化集成、管理规范统一、业务协同联动、服务高效便捷，持续健全异地就医结算管理服务机制，不断提升人民群众异地就医结算的获得感、幸福感和安全感。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left"/>
        <w:outlineLvl w:val="9"/>
        <w:rPr>
          <w:rFonts w:hint="eastAsia" w:ascii="Times New Roman" w:hAnsi="Times New Roman" w:eastAsia="仿宋_GB2312" w:cs="仿宋_GB2312"/>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第四条 </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市医疗保障行政部门负责统筹全市异地就医管理工作。各级医疗保障经办部门（以下简称</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医保经办机构</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）负责参保人员异地就医备案登记、审核结算、资金清算等工作。市医疗保障监督检查部门（以下简称</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医保监督部门</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）负责就医地和参保地监管等工作。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left"/>
        <w:outlineLvl w:val="9"/>
        <w:rPr>
          <w:rFonts w:ascii="Times New Roman" w:hAnsi="Times New Roman" w:eastAsia="仿宋_GB2312" w:cs="Calibri"/>
          <w:caps w:val="0"/>
          <w:smallCaps w:val="0"/>
          <w:color w:val="auto"/>
          <w:sz w:val="32"/>
          <w:szCs w:val="32"/>
          <w:shd w:val="clear" w:color="auto" w:fill="auto"/>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第二章 人员管理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第五条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本市异地就医人员包括跨省异地长期居住人员和跨省临时外出就医人员（以下简称</w:t>
      </w: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两类异地就医人员</w:t>
      </w: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第六条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跨省异地长期居住人员包括异地安置退休人员、异地长期居住人员、常驻异地工作人员等在天津市参加职工或居民基本医疗保险，长期在天津市以外省（区、市）工作、居住、生活的人员。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both"/>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（一）异地安置退休人员：指退休后在异地定居且户籍迁入定居地的人员。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both"/>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（二）异地长期居住人员：指长期在异地居住生活的人员，随父母异地生活（或回原籍）的学生儿童。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27" w:firstLineChars="196"/>
        <w:jc w:val="both"/>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（三）常驻异地工作人员：指用人单位长期派驻异地工作的人员。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第七条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跨省临时外出就医人员包括异地转诊就医人员，因工作、旅游等原因异地急诊抢救人员以及其他跨省临时外出就医人员。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ascii="Times New Roman" w:hAnsi="Times New Roman" w:eastAsia="仿宋_GB2312" w:cs="Times New Roman"/>
          <w:caps w:val="0"/>
          <w:smallCaps w:val="0"/>
          <w:color w:val="auto"/>
          <w:sz w:val="32"/>
          <w:szCs w:val="32"/>
          <w:shd w:val="clear" w:color="auto" w:fill="auto"/>
          <w:vertAlign w:val="baseline"/>
        </w:rPr>
      </w:pP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 xml:space="preserve">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（一）异地转诊就医人员：</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指参保人员因诊疗需要，办理转外就医手续后，转往异地二级或三级</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定点医疗机构就医的情形。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left"/>
        <w:outlineLvl w:val="9"/>
        <w:rPr>
          <w:rFonts w:ascii="Times New Roman" w:hAnsi="Times New Roman" w:eastAsia="仿宋_GB2312" w:cs="Calibri"/>
          <w:caps w:val="0"/>
          <w:smallCaps w:val="0"/>
          <w:color w:val="auto"/>
          <w:kern w:val="0"/>
          <w:sz w:val="32"/>
          <w:szCs w:val="32"/>
          <w:shd w:val="clear" w:color="auto" w:fill="auto"/>
          <w:vertAlign w:val="baseline"/>
        </w:rPr>
      </w:pP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 xml:space="preserve">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（二）异地急诊抢救人员：</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指参保人员短期出差、学习培训或度假期间，因急症在异地医疗机构就医的情形。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（三）其他跨省临时外出就医人员：指参保人员自行到异地二级或三级定点医疗机构就医的情形。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第三章 备案管理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第八条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异地就医实行登记备案管理。两类异地就医人员按规定办理异地就医备案手续后，可以享受跨省异地就医直接结算服务。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 xml:space="preserve">第九条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跨省异地长期居住人员异地就医前，应办理异地就医备案手续。其中，</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异地安置退休人员，需提供异地安置认定材料（</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户口本首页</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和本人</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常住人口登记卡</w:t>
      </w:r>
      <w:r>
        <w:rPr>
          <w:rFonts w:ascii="Times New Roman" w:hAnsi="Times New Roman" w:eastAsia="仿宋_GB2312" w:cs="Calibri"/>
          <w:b w:val="0"/>
          <w:bCs/>
          <w:caps w:val="0"/>
          <w:smallCaps w:val="0"/>
          <w:color w:val="auto"/>
          <w:kern w:val="2"/>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或个人承诺书）；异地长期居住人员，需提供长期居住认定材料（居住证明或个人承诺书）；常驻异地工作人员，需提供异地工作证明材料（参保地工作单位派出证明、异地工作单位证明、工作合同任选其一或个人承诺书）</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 xml:space="preserve">第十条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临时外出就医人员异地就医前，应办理异地就医备案手续。其中，异地转诊就医人员，应提供具有转诊资质的定点医疗机构开具的转诊转院证明材料或个人承诺书办理备案手续；其他跨省临时外出就医人员应提供个人承诺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ascii="Times New Roman" w:hAnsi="Times New Roman" w:eastAsia="仿宋_GB2312" w:cs="Times New Roman"/>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 xml:space="preserve">第十一条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两类异地就医人员可通过国家医保服务平台</w:t>
      </w: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APP</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、津医保</w:t>
      </w: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APP</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国家异地就医备案小程序、国务院客户端小程序自助办理异地就医备案手续或到各区医保经办机构窗口办理异地就医备案手续。本市参保人员办理异地就医备案手续后，可直接备案到就医地市或直辖市等，参保人员到海南、西藏等省级统筹地区和新疆生产建设兵团就医的，可备案到就医省和新疆生产建设兵团。参保人员可在备案地开通的跨省联网定点医疗机构享受住院费用跨省直接结算服务，可在备案地开通的跨省联网定点医药机构享受普通门诊费用跨省直接结算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第十二条</w:t>
      </w:r>
      <w:r>
        <w:rPr>
          <w:rFonts w:ascii="Times New Roman" w:hAnsi="Times New Roman" w:eastAsia="仿宋_GB2312" w:cs="Times New Roman"/>
          <w:b w:val="0"/>
          <w:bCs/>
          <w:caps w:val="0"/>
          <w:smallCaps w:val="0"/>
          <w:color w:val="auto"/>
          <w:kern w:val="2"/>
          <w:sz w:val="32"/>
          <w:szCs w:val="32"/>
          <w:shd w:val="clear" w:color="auto" w:fill="auto"/>
          <w:vertAlign w:val="baseline"/>
          <w:lang w:val="en-US" w:eastAsia="zh-CN"/>
        </w:rPr>
        <w:t xml:space="preserve">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跨省异地长期居住人员</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患有门诊特定疾病（以下简称“门特”）的，按我市有关规定到具有鉴定资格的本市医疗机构鉴诊并办理门特登记手续；也可经其选定的最高级别医疗机构鉴诊，凭诊断证明和相关检查结果，到参保地医保经办机构办理。异地就医门诊慢特病直接结算试点期间，参保人员可在原本人选定的门诊慢特病定点医疗机构基础上，额外选择</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2</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家备案地已开通门诊慢特病直接结算服务的定点医疗机构，作为本人异地就医门诊慢特病直接结算定点医疗机构。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第十三条 </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跨省异地长期居住人员办理登记备案后，备案长期有效，参保人员可根据实际情况设定备案有效期限并进行变更或取消。跨省临时外出就医人员办理登记备案后，备案有效期限最长为12个月，有效期内，因病情需要，可在就医地多次就诊并享受跨省异地就医直接结算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第十四条</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 xml:space="preserve"> 异地参保人员跨省出院结算前补办异地就医备案的，本市联网定点医疗机构应为其办理医疗费用跨省直接结算。本市参保人员跨省出院结算前，可补办异地就医备案手续，享受相应异地就医直接结算服务。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left"/>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2"/>
          <w:sz w:val="32"/>
          <w:szCs w:val="32"/>
          <w:shd w:val="clear" w:color="auto" w:fill="auto"/>
          <w:vertAlign w:val="baseline"/>
          <w:lang w:val="en-US" w:eastAsia="zh-CN"/>
        </w:rPr>
        <w:t>第十五条</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 xml:space="preserve"> 本市参保人员跨省异地就医出院自费结算后，可补充提供第九条、第十条所列证明材料，发生的合规医疗费用可以申请医保手工报销。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第四章 转诊就医管理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    第十六条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转诊就医是指参保人员因诊疗需要，经本市三级定点医疗机构办理转外就医手续，转往异地二级或三级定点医疗机构就医的情形。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第十七条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参保人员应优先选择本市定点医疗机构就医，确因病情需要转往异地定点医疗机构就医的，应到本市三级定点医疗机构鉴诊并办理转外就医手续。</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由副高级以上医师出具转诊转院意见，经科室主任核准后，由医院医保管理部门通过医保信息系统上传相关信息，并为参保人员打印办理结果。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第十八条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跨省异地长期居住人员</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因病情需在备案地省内转诊转院的，由备案地的最高级别医疗机构出具转诊转院意见，发生的医疗费用按照</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跨省异地长期居住人员就医</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有关政策报销。因病情需要跨省转诊转院的，由备案地的最高级别医疗机构出具转诊转院意见，到参保地医保经办机构办理转外就医手续。</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第十九条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转外就医限一家医疗机构，</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跨省临时外出就医人员</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因病情需在备案地</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转省内其他定点医疗机构的，由第一家转入医疗机构出具转诊转院意见，</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发生的医疗费用按照跨省临时外出就医有关政策报销</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。参保人员到与转入医疗机构开展医疗联合体或分级诊疗的定点医疗机构就医的，由转入医疗机构出具相关证明。</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异地急诊抢救人员</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发生的急诊、抢救医疗费用，由基本医疗保险基金按国家和本市有关规定予以支付。</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需跨省转异地医疗机构就医的，由第一家接诊医疗机构出具转诊转院意见，发生的医疗费用按照转诊就医有关政策报销。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第二十一条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转诊转院责任医院要严格掌握转外标准，不得放宽转诊转院条件。医保经办机构应将本市三级定点医疗机构转外就医情况纳入协议考核范围。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第五章  医疗费用支付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    第二十二条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本市参保人员按规定办理跨省异地长期居住或跨省临时外出就医人员备案手续后，可以在备案地和参保地双向享受医保待遇。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    第二十三条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两类异地就医人员按规定办理异地就医备案手续后，在备案地</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异地就医直接结算发生的住院、普通门诊和门诊慢特病医疗费用，原则上执行就医地规定的支付范围及有关规定</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基本医疗保险药品、医疗服务项目和医用耗材等支付范围</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，执行参保地规定的基本医疗保险基金起付标准、支付比例、最高支付限额、门诊慢特病病种范围等有关政策。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    第二十四条</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 xml:space="preserve">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参保人员未按规定办理异地就医备案手续，发生的异地就医医疗费用由本人先行垫付，治疗结束后到参保地医保经办机构申请报销，申报材料和流程按照本市有关规定执行。发生的异地就医垫付医疗费用，按照本市基本医疗保险药品目录、诊疗项目目录和服务设施标准报销。其中，药品按照实际价格报销，医疗服务项目以本市医保支付标准为最高报销限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5"/>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第二十五条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跨省异地长期居住人员发生的合规的门诊（含门诊特殊病）和住院医疗费用纳入医保报销，报销比例按本市有关规定执行。异地转诊就医人员在转入医疗机构就医发生的合规的普通门诊和住院医疗费用纳入医保报销，个人自负比例提高</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5</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个百分点；在与转入医疗机构开展医疗联合体或分级诊疗的定点医疗机构就医的，个人自负比例按照转入医疗机构执行；转往京津冀互认的定点医疗机构就医的，按照本市有关规定执行。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5"/>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第二十六条 </w:t>
      </w:r>
      <w:r>
        <w:rPr>
          <w:rFonts w:hint="eastAsia" w:ascii="Times New Roman" w:hAnsi="Times New Roman" w:eastAsia="仿宋_GB2312" w:cs="仿宋_GB2312"/>
          <w:b w:val="0"/>
          <w:bCs/>
          <w:caps w:val="0"/>
          <w:smallCaps w:val="0"/>
          <w:color w:val="auto"/>
          <w:kern w:val="2"/>
          <w:sz w:val="32"/>
          <w:szCs w:val="32"/>
          <w:shd w:val="clear" w:color="auto" w:fill="auto"/>
          <w:vertAlign w:val="baseline"/>
          <w:lang w:val="en-US" w:eastAsia="zh-CN"/>
        </w:rPr>
        <w:t>未办理转外就医手续</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，自行到异地二级或三级定点医疗机构就医发生的合规的普通门诊和住院医疗费用纳入医保报销，个人自负比例提高</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10</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个百分点；自行到其他医疗机构就医的，医保基金不予报销。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第二十七条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异地就医人员应提供真实有效的报销材料，若查实提供虚假材料的，按照国家和我市相关法律和相关规定处理。医保经办机构发现疑似违规异地就医行为的，应依法依规查实处理。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eastAsia" w:ascii="Times New Roman" w:hAnsi="Times New Roman" w:eastAsia="黑体" w:cs="黑体"/>
          <w:caps w:val="0"/>
          <w:smallCaps w:val="0"/>
          <w:color w:val="auto"/>
          <w:kern w:val="0"/>
          <w:sz w:val="32"/>
          <w:szCs w:val="32"/>
          <w:shd w:val="clear" w:color="auto" w:fill="auto"/>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第六章  管理和监督</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both"/>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第二十八条 </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医保经办机构应将异地就医人员纳入本地统一管理，在医疗信息记录、绩效考核、医疗行为监控、费用审核、总额预算等方面提供与本地参保人员相同的服务和管理，并在定点医药机构医疗保障服务协议中予以明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both"/>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第二十九条 </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医保经办机构应建立健全异地就医协同工作机制，形成分工明确、职责明晰、流程统一的跨省异地就医业务协同管理体系，在问题协同、线上报销、费用协查、信息共享等方面全面提升医保经办业务协同管理能力。</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jc w:val="both"/>
        <w:outlineLvl w:val="9"/>
        <w:rPr>
          <w:rFonts w:hint="eastAsia" w:ascii="Times New Roman" w:hAnsi="Times New Roman" w:eastAsia="仿宋" w:cs="仿宋"/>
          <w:caps w:val="0"/>
          <w:smallCaps w:val="0"/>
          <w:color w:val="auto"/>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第三十条 </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医保监督部门应健全跨省异地就医直接结算基金监管机制，按照国家要求，不断完善本市与异地区域协作、联合检查等工作制度。落实就医地和参保地监管责任，</w:t>
      </w:r>
      <w:r>
        <w:rPr>
          <w:rFonts w:ascii="Times New Roman" w:hAnsi="Times New Roman" w:eastAsia="仿宋_GB2312" w:cs="仿宋_GB2312"/>
          <w:b w:val="0"/>
          <w:bCs w:val="0"/>
          <w:sz w:val="32"/>
          <w:szCs w:val="32"/>
          <w:shd w:val="clear" w:color="auto" w:fill="auto"/>
        </w:rPr>
        <w:t>对本市参保人员跨省异地就医存在的违规行为和外地参保人员在我市异地就医直接结算的本市医疗机构存在的违规行为进行监督检查，</w:t>
      </w:r>
      <w:r>
        <w:rPr>
          <w:rFonts w:hint="eastAsia" w:ascii="Times New Roman" w:hAnsi="Times New Roman" w:eastAsia="仿宋" w:cs="仿宋"/>
          <w:b w:val="0"/>
          <w:bCs/>
          <w:caps w:val="0"/>
          <w:smallCaps w:val="0"/>
          <w:color w:val="auto"/>
          <w:kern w:val="2"/>
          <w:sz w:val="32"/>
          <w:szCs w:val="32"/>
          <w:shd w:val="clear" w:color="auto" w:fill="auto"/>
          <w:vertAlign w:val="baseline"/>
          <w:lang w:val="en-US" w:eastAsia="zh-CN"/>
        </w:rPr>
        <w:t>严厉打击各类欺诈骗保行为，</w:t>
      </w:r>
      <w:r>
        <w:rPr>
          <w:rFonts w:ascii="Times New Roman" w:hAnsi="Times New Roman" w:eastAsia="仿宋_GB2312" w:cs="仿宋_GB2312"/>
          <w:b w:val="0"/>
          <w:bCs w:val="0"/>
          <w:sz w:val="32"/>
          <w:szCs w:val="32"/>
          <w:shd w:val="clear" w:color="auto" w:fill="auto"/>
        </w:rPr>
        <w:t>确保医保基金安全合理使用。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both"/>
        <w:outlineLvl w:val="9"/>
        <w:rPr>
          <w:rFonts w:hint="eastAsia" w:ascii="Times New Roman" w:hAnsi="Times New Roman" w:eastAsia="黑体" w:cs="黑体"/>
          <w:caps w:val="0"/>
          <w:smallCaps w:val="0"/>
          <w:color w:val="auto"/>
          <w:kern w:val="0"/>
          <w:sz w:val="32"/>
          <w:szCs w:val="32"/>
          <w:shd w:val="clear" w:color="auto" w:fill="auto"/>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jc w:val="center"/>
        <w:outlineLvl w:val="9"/>
        <w:rPr>
          <w:rFonts w:hint="eastAsia" w:ascii="Times New Roman" w:hAnsi="Times New Roman" w:eastAsia="黑体" w:cs="黑体"/>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第七章  附 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第三十</w:t>
      </w:r>
      <w:r>
        <w:rPr>
          <w:rFonts w:ascii="Times New Roman" w:hAnsi="Times New Roman" w:eastAsia="黑体" w:cs="黑体"/>
          <w:b w:val="0"/>
          <w:bCs/>
          <w:caps w:val="0"/>
          <w:smallCaps w:val="0"/>
          <w:color w:val="auto"/>
          <w:kern w:val="0"/>
          <w:sz w:val="32"/>
          <w:szCs w:val="32"/>
          <w:shd w:val="clear" w:color="auto" w:fill="auto"/>
          <w:vertAlign w:val="baseline"/>
          <w:lang w:eastAsia="zh-CN"/>
        </w:rPr>
        <w:t>一</w:t>
      </w: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条 </w:t>
      </w:r>
      <w:r>
        <w:rPr>
          <w:rFonts w:hint="eastAsia" w:ascii="Times New Roman" w:hAnsi="Times New Roman" w:eastAsia="仿宋_GB2312" w:cs="Times New Roman"/>
          <w:b w:val="0"/>
          <w:bCs/>
          <w:caps w:val="0"/>
          <w:smallCaps w:val="0"/>
          <w:color w:val="auto"/>
          <w:kern w:val="2"/>
          <w:sz w:val="32"/>
          <w:szCs w:val="32"/>
          <w:shd w:val="clear" w:color="auto" w:fill="auto"/>
          <w:vertAlign w:val="baseline"/>
          <w:lang w:val="en-US" w:eastAsia="zh-CN"/>
        </w:rPr>
        <w:t>两类异地就医人员办理异地就医备案手续后，</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所参加的基本医疗保险险种发生变化的，相关手续在规定时间内继续有效。</w:t>
      </w:r>
    </w:p>
    <w:p>
      <w:pPr>
        <w:pStyle w:val="15"/>
        <w:keepNext w:val="0"/>
        <w:keepLines w:val="0"/>
        <w:pageBreakBefore w:val="0"/>
        <w:widowControl w:val="0"/>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auto"/>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第三十</w:t>
      </w:r>
      <w:r>
        <w:rPr>
          <w:rFonts w:ascii="Times New Roman" w:hAnsi="Times New Roman" w:eastAsia="黑体" w:cs="黑体"/>
          <w:b w:val="0"/>
          <w:bCs/>
          <w:caps w:val="0"/>
          <w:smallCaps w:val="0"/>
          <w:color w:val="auto"/>
          <w:kern w:val="0"/>
          <w:sz w:val="32"/>
          <w:szCs w:val="32"/>
          <w:shd w:val="clear" w:color="auto" w:fill="auto"/>
          <w:vertAlign w:val="baseline"/>
          <w:lang w:eastAsia="zh-CN"/>
        </w:rPr>
        <w:t>二</w:t>
      </w: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本办法由市医疗保障行政部门负责解释。</w:t>
      </w:r>
    </w:p>
    <w:p>
      <w:pPr>
        <w:pStyle w:val="15"/>
        <w:keepNext w:val="0"/>
        <w:keepLines w:val="0"/>
        <w:pageBreakBefore w:val="0"/>
        <w:widowControl w:val="0"/>
        <w:suppressLineNumbers w:val="0"/>
        <w:suppressAutoHyphens w:val="0"/>
        <w:kinsoku/>
        <w:wordWrap/>
        <w:overflowPunct/>
        <w:topLinePunct w:val="0"/>
        <w:autoSpaceDE/>
        <w:autoSpaceDN w:val="0"/>
        <w:bidi w:val="0"/>
        <w:adjustRightInd w:val="0"/>
        <w:snapToGrid/>
        <w:spacing w:before="0" w:beforeAutospacing="0" w:after="0" w:afterAutospacing="0" w:line="560" w:lineRule="exact"/>
        <w:ind w:left="0" w:right="0" w:firstLine="640" w:firstLineChars="200"/>
        <w:jc w:val="both"/>
        <w:outlineLvl w:val="9"/>
        <w:rPr>
          <w:rFonts w:ascii="Times New Roman" w:hAnsi="Times New Roman" w:eastAsia="仿宋_GB2312" w:cs="Calibri"/>
          <w:caps w:val="0"/>
          <w:smallCaps w:val="0"/>
          <w:color w:val="000000"/>
          <w:kern w:val="0"/>
          <w:sz w:val="32"/>
          <w:szCs w:val="32"/>
          <w:shd w:val="clear" w:color="auto" w:fill="auto"/>
          <w:vertAlign w:val="baseline"/>
        </w:rPr>
      </w:pP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第三十</w:t>
      </w:r>
      <w:r>
        <w:rPr>
          <w:rFonts w:ascii="Times New Roman" w:hAnsi="Times New Roman" w:eastAsia="黑体" w:cs="黑体"/>
          <w:b w:val="0"/>
          <w:bCs/>
          <w:caps w:val="0"/>
          <w:smallCaps w:val="0"/>
          <w:color w:val="auto"/>
          <w:kern w:val="0"/>
          <w:sz w:val="32"/>
          <w:szCs w:val="32"/>
          <w:shd w:val="clear" w:color="auto" w:fill="auto"/>
          <w:vertAlign w:val="baseline"/>
          <w:lang w:eastAsia="zh-CN"/>
        </w:rPr>
        <w:t>三</w:t>
      </w:r>
      <w:r>
        <w:rPr>
          <w:rFonts w:hint="eastAsia" w:ascii="Times New Roman" w:hAnsi="Times New Roman" w:eastAsia="黑体" w:cs="黑体"/>
          <w:b w:val="0"/>
          <w:bCs/>
          <w:caps w:val="0"/>
          <w:smallCaps w:val="0"/>
          <w:color w:val="auto"/>
          <w:kern w:val="0"/>
          <w:sz w:val="32"/>
          <w:szCs w:val="32"/>
          <w:shd w:val="clear" w:color="auto" w:fill="auto"/>
          <w:vertAlign w:val="baseline"/>
          <w:lang w:val="en-US" w:eastAsia="zh-CN"/>
        </w:rPr>
        <w:t xml:space="preserve">条 </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本办法自</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2023</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年</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1</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月</w:t>
      </w:r>
      <w:r>
        <w:rPr>
          <w:rFonts w:ascii="Times New Roman" w:hAnsi="Times New Roman" w:eastAsia="仿宋_GB2312" w:cs="Calibri"/>
          <w:b w:val="0"/>
          <w:bCs/>
          <w:caps w:val="0"/>
          <w:smallCaps w:val="0"/>
          <w:color w:val="auto"/>
          <w:kern w:val="0"/>
          <w:sz w:val="32"/>
          <w:szCs w:val="32"/>
          <w:shd w:val="clear" w:color="auto" w:fill="auto"/>
          <w:vertAlign w:val="baseline"/>
          <w:lang w:val="en-US" w:eastAsia="zh-CN"/>
        </w:rPr>
        <w:t>1</w:t>
      </w:r>
      <w:r>
        <w:rPr>
          <w:rFonts w:hint="eastAsia" w:ascii="Times New Roman" w:hAnsi="Times New Roman" w:eastAsia="仿宋_GB2312" w:cs="仿宋_GB2312"/>
          <w:b w:val="0"/>
          <w:bCs/>
          <w:caps w:val="0"/>
          <w:smallCaps w:val="0"/>
          <w:color w:val="auto"/>
          <w:kern w:val="0"/>
          <w:sz w:val="32"/>
          <w:szCs w:val="32"/>
          <w:shd w:val="clear" w:color="auto" w:fill="auto"/>
          <w:vertAlign w:val="baseline"/>
          <w:lang w:val="en-US" w:eastAsia="zh-CN"/>
        </w:rPr>
        <w:t>日起施行，有效期五年。</w:t>
      </w: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eastAsia" w:ascii="Times New Roman" w:hAnsi="Times New Roman" w:eastAsia="仿宋_GB2312"/>
          <w:kern w:val="0"/>
          <w:sz w:val="36"/>
          <w:szCs w:val="36"/>
        </w:rPr>
      </w:pPr>
    </w:p>
    <w:p>
      <w:pPr>
        <w:spacing w:line="578" w:lineRule="exact"/>
        <w:ind w:firstLine="795" w:firstLineChars="221"/>
        <w:rPr>
          <w:rFonts w:hint="default" w:ascii="Times New Roman" w:hAnsi="Times New Roman" w:eastAsia="仿宋_GB2312"/>
          <w:kern w:val="0"/>
          <w:sz w:val="36"/>
          <w:szCs w:val="36"/>
        </w:rPr>
      </w:pPr>
      <w:r>
        <w:rPr>
          <w:rFonts w:ascii="Times New Roman" w:hAnsi="Times New Roman" w:eastAsia="仿宋_GB2312"/>
          <w:kern w:val="0"/>
          <w:sz w:val="36"/>
          <w:szCs w:val="36"/>
        </w:rPr>
        <w:t>（此页无正文）</w:t>
      </w:r>
    </w:p>
    <w:p>
      <w:pPr>
        <w:spacing w:line="578" w:lineRule="exact"/>
        <w:ind w:firstLine="795" w:firstLineChars="221"/>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pStyle w:val="2"/>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spacing w:line="578" w:lineRule="exact"/>
        <w:ind w:firstLine="795" w:firstLineChars="221"/>
        <w:rPr>
          <w:rFonts w:ascii="Times New Roman" w:hAnsi="Times New Roman" w:eastAsia="仿宋_GB2312"/>
          <w:kern w:val="0"/>
          <w:sz w:val="36"/>
          <w:szCs w:val="36"/>
        </w:rPr>
      </w:pPr>
    </w:p>
    <w:p>
      <w:pPr>
        <w:pStyle w:val="2"/>
      </w:pPr>
    </w:p>
    <w:p>
      <w:pPr>
        <w:widowControl/>
        <w:spacing w:line="578" w:lineRule="exact"/>
        <w:jc w:val="left"/>
        <w:rPr>
          <w:rFonts w:ascii="Times New Roman" w:hAnsi="Times New Roman" w:eastAsia="仿宋_GB2312"/>
          <w:sz w:val="32"/>
        </w:rPr>
      </w:pPr>
    </w:p>
    <w:p>
      <w:pPr>
        <w:spacing w:line="578" w:lineRule="exact"/>
        <w:ind w:left="210" w:leftChars="100" w:right="210" w:rightChars="100"/>
        <w:rPr>
          <w:rFonts w:ascii="Times New Roman" w:hAnsi="Times New Roman" w:eastAsia="仿宋_GB2312"/>
          <w:sz w:val="28"/>
          <w:szCs w:val="28"/>
        </w:rPr>
      </w:pPr>
      <w:r>
        <w:rPr>
          <w:rFonts w:ascii="Times New Roman" w:hAnsi="Times New Roman"/>
        </w:rPr>
        <w:pict>
          <v:line id="Line 4" o:spid="_x0000_s1068" o:spt="20" style="position:absolute;left:0pt;margin-left:-0.05pt;margin-top:0pt;height:0pt;width:441.0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X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">
            <v:path arrowok="t"/>
            <v:fill focussize="0,0"/>
            <v:stroke weight="1.5pt"/>
            <v:imagedata o:title=""/>
            <o:lock v:ext="edit"/>
          </v:line>
        </w:pict>
      </w:r>
      <w:r>
        <w:rPr>
          <w:rFonts w:ascii="Times New Roman" w:hAnsi="Times New Roman"/>
        </w:rPr>
        <w:pict>
          <v:line id="Line 5" o:spid="_x0000_s1069" o:spt="20" style="position:absolute;left:0pt;margin-left:0pt;margin-top:30.5pt;height:0pt;width:441.0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l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">
            <v:path arrowok="t"/>
            <v:fill focussize="0,0"/>
            <v:stroke weight="1.5pt"/>
            <v:imagedata o:title=""/>
            <o:lock v:ext="edit"/>
          </v:line>
        </w:pict>
      </w:r>
      <w:r>
        <w:rPr>
          <w:rFonts w:ascii="Times New Roman" w:hAnsi="Times New Roman"/>
        </w:rPr>
        <w:pict>
          <v:line id="Line 6" o:spid="_x0000_s1070" o:spt="20" style="position:absolute;left:0pt;margin-left:0pt;margin-top:0pt;height:0pt;width:441.05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7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PnemNKyCgUjsbaqNn9WKeNf3ukNJVS9SBR4avFwNpWchI3qSEjTOAv+8/awYx5Oh1bNO5&#10;sV2AhAagc1TjcleDnz2icDibp9l0O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">
            <v:path arrowok="t"/>
            <v:fill focussize="0,0"/>
            <v:stroke/>
            <v:imagedata o:title=""/>
            <o:lock v:ext="edit"/>
          </v:line>
        </w:pict>
      </w:r>
      <w:r>
        <w:rPr>
          <w:rFonts w:hint="eastAsia" w:ascii="Times New Roman" w:hAnsi="Times New Roman" w:eastAsia="仿宋_GB2312"/>
          <w:sz w:val="28"/>
          <w:szCs w:val="28"/>
        </w:rPr>
        <w:t xml:space="preserve">天津市医疗保障局办公室             </w:t>
      </w:r>
      <w:r>
        <w:rPr>
          <w:rFonts w:hint="default"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hint="eastAsia"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202</w:t>
      </w:r>
      <w:r>
        <w:rPr>
          <w:rFonts w:hint="eastAsia" w:eastAsia="仿宋_GB2312"/>
          <w:sz w:val="28"/>
          <w:szCs w:val="28"/>
          <w:lang w:val="en-US" w:eastAsia="zh-CN"/>
        </w:rPr>
        <w:t>2</w:t>
      </w:r>
      <w:r>
        <w:rPr>
          <w:rFonts w:hint="eastAsia" w:ascii="Times New Roman" w:hAnsi="Times New Roman" w:eastAsia="仿宋_GB2312"/>
          <w:sz w:val="28"/>
          <w:szCs w:val="28"/>
        </w:rPr>
        <w:t>年</w:t>
      </w:r>
      <w:r>
        <w:rPr>
          <w:rFonts w:hint="eastAsia" w:eastAsia="仿宋_GB2312"/>
          <w:sz w:val="28"/>
          <w:szCs w:val="28"/>
          <w:lang w:val="en-US" w:eastAsia="zh-CN"/>
        </w:rPr>
        <w:t>12</w:t>
      </w:r>
      <w:r>
        <w:rPr>
          <w:rFonts w:hint="eastAsia" w:ascii="Times New Roman" w:hAnsi="Times New Roman" w:eastAsia="仿宋_GB2312"/>
          <w:sz w:val="28"/>
          <w:szCs w:val="28"/>
        </w:rPr>
        <w:t>月</w:t>
      </w:r>
      <w:r>
        <w:rPr>
          <w:rFonts w:hint="eastAsia" w:eastAsia="仿宋_GB2312"/>
          <w:sz w:val="28"/>
          <w:szCs w:val="28"/>
          <w:lang w:val="en-US" w:eastAsia="zh-CN"/>
        </w:rPr>
        <w:t>28</w:t>
      </w:r>
      <w:r>
        <w:rPr>
          <w:rFonts w:hint="eastAsia" w:ascii="Times New Roman" w:hAnsi="Times New Roman" w:eastAsia="仿宋_GB2312"/>
          <w:sz w:val="28"/>
          <w:szCs w:val="28"/>
        </w:rPr>
        <w:t>日印发</w:t>
      </w:r>
    </w:p>
    <w:sectPr>
      <w:footerReference r:id="rId3" w:type="default"/>
      <w:footerReference r:id="rId4" w:type="even"/>
      <w:type w:val="continuous"/>
      <w:pgSz w:w="11906" w:h="16838"/>
      <w:pgMar w:top="2098" w:right="1474" w:bottom="1985" w:left="1588" w:header="851" w:footer="1134"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Ubuntu"/>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Ubuntu">
    <w:panose1 w:val="020B0604030602030204"/>
    <w:charset w:val="00"/>
    <w:family w:val="auto"/>
    <w:pitch w:val="default"/>
    <w:sig w:usb0="E00002FF" w:usb1="5000205B" w:usb2="00000000" w:usb3="00000000" w:csb0="2000009F" w:csb1="56010000"/>
  </w:font>
  <w:font w:name="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documentProtection w:enforcement="0"/>
  <w:defaultTabStop w:val="425"/>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F0BDC"/>
    <w:rsid w:val="000065D5"/>
    <w:rsid w:val="000109FD"/>
    <w:rsid w:val="00013EC0"/>
    <w:rsid w:val="000147B3"/>
    <w:rsid w:val="00020120"/>
    <w:rsid w:val="00022EF9"/>
    <w:rsid w:val="0003315A"/>
    <w:rsid w:val="00033407"/>
    <w:rsid w:val="00037BE7"/>
    <w:rsid w:val="00037DE4"/>
    <w:rsid w:val="00044741"/>
    <w:rsid w:val="000541E6"/>
    <w:rsid w:val="00055249"/>
    <w:rsid w:val="00061396"/>
    <w:rsid w:val="00065E5F"/>
    <w:rsid w:val="00081292"/>
    <w:rsid w:val="000827C6"/>
    <w:rsid w:val="00095A94"/>
    <w:rsid w:val="00096F5D"/>
    <w:rsid w:val="00097054"/>
    <w:rsid w:val="000972C7"/>
    <w:rsid w:val="000A1DA6"/>
    <w:rsid w:val="000A44BF"/>
    <w:rsid w:val="000A767D"/>
    <w:rsid w:val="000B592A"/>
    <w:rsid w:val="000C1461"/>
    <w:rsid w:val="000D57CF"/>
    <w:rsid w:val="000E0244"/>
    <w:rsid w:val="000E074B"/>
    <w:rsid w:val="000F65DD"/>
    <w:rsid w:val="00104FAD"/>
    <w:rsid w:val="00105D60"/>
    <w:rsid w:val="001077DB"/>
    <w:rsid w:val="00110E41"/>
    <w:rsid w:val="00112E8B"/>
    <w:rsid w:val="00120125"/>
    <w:rsid w:val="0012031D"/>
    <w:rsid w:val="00130551"/>
    <w:rsid w:val="00147DA7"/>
    <w:rsid w:val="00151992"/>
    <w:rsid w:val="00154487"/>
    <w:rsid w:val="00155EBD"/>
    <w:rsid w:val="00161D9D"/>
    <w:rsid w:val="00162B87"/>
    <w:rsid w:val="00163B67"/>
    <w:rsid w:val="00172C8C"/>
    <w:rsid w:val="00173403"/>
    <w:rsid w:val="00176F71"/>
    <w:rsid w:val="001775A3"/>
    <w:rsid w:val="00192404"/>
    <w:rsid w:val="001948DE"/>
    <w:rsid w:val="0019737A"/>
    <w:rsid w:val="001A5DF5"/>
    <w:rsid w:val="001B694C"/>
    <w:rsid w:val="001C2624"/>
    <w:rsid w:val="001C792E"/>
    <w:rsid w:val="001D4FEC"/>
    <w:rsid w:val="001D75E1"/>
    <w:rsid w:val="001E12DB"/>
    <w:rsid w:val="001E29A2"/>
    <w:rsid w:val="001E58CF"/>
    <w:rsid w:val="001E59DF"/>
    <w:rsid w:val="001F1A53"/>
    <w:rsid w:val="001F422C"/>
    <w:rsid w:val="001F4881"/>
    <w:rsid w:val="001F49BF"/>
    <w:rsid w:val="00200784"/>
    <w:rsid w:val="0020464D"/>
    <w:rsid w:val="00206CDE"/>
    <w:rsid w:val="0020717F"/>
    <w:rsid w:val="0021088A"/>
    <w:rsid w:val="00215B50"/>
    <w:rsid w:val="00216817"/>
    <w:rsid w:val="00222E8A"/>
    <w:rsid w:val="00230A9E"/>
    <w:rsid w:val="00232B8F"/>
    <w:rsid w:val="00232E4B"/>
    <w:rsid w:val="00233E93"/>
    <w:rsid w:val="002426DD"/>
    <w:rsid w:val="00244736"/>
    <w:rsid w:val="00253B18"/>
    <w:rsid w:val="002542A3"/>
    <w:rsid w:val="00254310"/>
    <w:rsid w:val="002544B7"/>
    <w:rsid w:val="00255C1F"/>
    <w:rsid w:val="00267648"/>
    <w:rsid w:val="00281BAA"/>
    <w:rsid w:val="00282B6D"/>
    <w:rsid w:val="00292835"/>
    <w:rsid w:val="002977A8"/>
    <w:rsid w:val="002B1D79"/>
    <w:rsid w:val="002B6179"/>
    <w:rsid w:val="002D0535"/>
    <w:rsid w:val="002D684C"/>
    <w:rsid w:val="002D6F2F"/>
    <w:rsid w:val="002E1670"/>
    <w:rsid w:val="002E3A88"/>
    <w:rsid w:val="002E4D91"/>
    <w:rsid w:val="002E7B3A"/>
    <w:rsid w:val="002F3E50"/>
    <w:rsid w:val="002F4A77"/>
    <w:rsid w:val="002F7B0F"/>
    <w:rsid w:val="00300FF8"/>
    <w:rsid w:val="00301010"/>
    <w:rsid w:val="00303A58"/>
    <w:rsid w:val="003064BA"/>
    <w:rsid w:val="003265FB"/>
    <w:rsid w:val="003319B2"/>
    <w:rsid w:val="00337EF7"/>
    <w:rsid w:val="00342916"/>
    <w:rsid w:val="003429BA"/>
    <w:rsid w:val="00347C7A"/>
    <w:rsid w:val="00352B64"/>
    <w:rsid w:val="003543BD"/>
    <w:rsid w:val="00357A2E"/>
    <w:rsid w:val="003816E2"/>
    <w:rsid w:val="003921E6"/>
    <w:rsid w:val="00396AC5"/>
    <w:rsid w:val="003A283E"/>
    <w:rsid w:val="003B76BA"/>
    <w:rsid w:val="003C6B4A"/>
    <w:rsid w:val="003D0F58"/>
    <w:rsid w:val="003D2B30"/>
    <w:rsid w:val="003D4EDF"/>
    <w:rsid w:val="003D7B1D"/>
    <w:rsid w:val="003E0DFB"/>
    <w:rsid w:val="003F043D"/>
    <w:rsid w:val="003F0BDC"/>
    <w:rsid w:val="003F3A65"/>
    <w:rsid w:val="003F4838"/>
    <w:rsid w:val="00401456"/>
    <w:rsid w:val="004055FE"/>
    <w:rsid w:val="00406176"/>
    <w:rsid w:val="00406647"/>
    <w:rsid w:val="00407CAC"/>
    <w:rsid w:val="00414272"/>
    <w:rsid w:val="00422ACC"/>
    <w:rsid w:val="00437D7D"/>
    <w:rsid w:val="004414B9"/>
    <w:rsid w:val="00442396"/>
    <w:rsid w:val="00444779"/>
    <w:rsid w:val="00444F14"/>
    <w:rsid w:val="004549B0"/>
    <w:rsid w:val="004604A3"/>
    <w:rsid w:val="004619C8"/>
    <w:rsid w:val="0046390A"/>
    <w:rsid w:val="0046545F"/>
    <w:rsid w:val="0046662E"/>
    <w:rsid w:val="00470271"/>
    <w:rsid w:val="0047312A"/>
    <w:rsid w:val="00483BF1"/>
    <w:rsid w:val="00487737"/>
    <w:rsid w:val="004A370E"/>
    <w:rsid w:val="004C4E58"/>
    <w:rsid w:val="004C757C"/>
    <w:rsid w:val="004D0DF8"/>
    <w:rsid w:val="004D0DFB"/>
    <w:rsid w:val="004D1EE3"/>
    <w:rsid w:val="004E7AF1"/>
    <w:rsid w:val="004F12D7"/>
    <w:rsid w:val="004F5DB9"/>
    <w:rsid w:val="004F7E52"/>
    <w:rsid w:val="00501971"/>
    <w:rsid w:val="00507543"/>
    <w:rsid w:val="00507626"/>
    <w:rsid w:val="005173F1"/>
    <w:rsid w:val="00522C9C"/>
    <w:rsid w:val="00526D8A"/>
    <w:rsid w:val="00530BB4"/>
    <w:rsid w:val="00542C72"/>
    <w:rsid w:val="00542E6D"/>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B10B5"/>
    <w:rsid w:val="005B3A84"/>
    <w:rsid w:val="005B419F"/>
    <w:rsid w:val="005B425E"/>
    <w:rsid w:val="005B4FD4"/>
    <w:rsid w:val="005C26BD"/>
    <w:rsid w:val="005C31A4"/>
    <w:rsid w:val="005C7ABF"/>
    <w:rsid w:val="005E3B85"/>
    <w:rsid w:val="005E65A1"/>
    <w:rsid w:val="005E6D84"/>
    <w:rsid w:val="005F31A7"/>
    <w:rsid w:val="005F326A"/>
    <w:rsid w:val="005F32B8"/>
    <w:rsid w:val="005F43AB"/>
    <w:rsid w:val="005F5440"/>
    <w:rsid w:val="00603685"/>
    <w:rsid w:val="006039B9"/>
    <w:rsid w:val="00605E32"/>
    <w:rsid w:val="00610A2B"/>
    <w:rsid w:val="0061772C"/>
    <w:rsid w:val="00621098"/>
    <w:rsid w:val="00625753"/>
    <w:rsid w:val="006263A4"/>
    <w:rsid w:val="0063133A"/>
    <w:rsid w:val="006348D0"/>
    <w:rsid w:val="006373C4"/>
    <w:rsid w:val="00637666"/>
    <w:rsid w:val="006434C9"/>
    <w:rsid w:val="00646734"/>
    <w:rsid w:val="00653E0B"/>
    <w:rsid w:val="00655C0D"/>
    <w:rsid w:val="0066402E"/>
    <w:rsid w:val="006666D8"/>
    <w:rsid w:val="00673839"/>
    <w:rsid w:val="00673C8C"/>
    <w:rsid w:val="00682460"/>
    <w:rsid w:val="006858B6"/>
    <w:rsid w:val="00690D0C"/>
    <w:rsid w:val="00693AFA"/>
    <w:rsid w:val="006A4053"/>
    <w:rsid w:val="006B026C"/>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30B17"/>
    <w:rsid w:val="007346EE"/>
    <w:rsid w:val="007365D6"/>
    <w:rsid w:val="00737813"/>
    <w:rsid w:val="00742077"/>
    <w:rsid w:val="0074466C"/>
    <w:rsid w:val="007527C9"/>
    <w:rsid w:val="0075447A"/>
    <w:rsid w:val="00764746"/>
    <w:rsid w:val="00765D43"/>
    <w:rsid w:val="007665F3"/>
    <w:rsid w:val="0077444E"/>
    <w:rsid w:val="0077633B"/>
    <w:rsid w:val="007921B0"/>
    <w:rsid w:val="007B02A8"/>
    <w:rsid w:val="007B16C7"/>
    <w:rsid w:val="007C08B7"/>
    <w:rsid w:val="007C5003"/>
    <w:rsid w:val="007D1326"/>
    <w:rsid w:val="007D2DC5"/>
    <w:rsid w:val="007D7528"/>
    <w:rsid w:val="007E0CA2"/>
    <w:rsid w:val="007E23B8"/>
    <w:rsid w:val="007E43C4"/>
    <w:rsid w:val="007F4566"/>
    <w:rsid w:val="007F4F06"/>
    <w:rsid w:val="00801092"/>
    <w:rsid w:val="00805E44"/>
    <w:rsid w:val="0081160D"/>
    <w:rsid w:val="0081242A"/>
    <w:rsid w:val="008161AE"/>
    <w:rsid w:val="008209A3"/>
    <w:rsid w:val="00833E60"/>
    <w:rsid w:val="00834B62"/>
    <w:rsid w:val="00841504"/>
    <w:rsid w:val="00847CC4"/>
    <w:rsid w:val="00852C8E"/>
    <w:rsid w:val="00864DF6"/>
    <w:rsid w:val="00874985"/>
    <w:rsid w:val="00876F88"/>
    <w:rsid w:val="00877B0D"/>
    <w:rsid w:val="00881AC8"/>
    <w:rsid w:val="008823C9"/>
    <w:rsid w:val="0089147C"/>
    <w:rsid w:val="00892E04"/>
    <w:rsid w:val="00896547"/>
    <w:rsid w:val="008A08BA"/>
    <w:rsid w:val="008A37CB"/>
    <w:rsid w:val="008A438E"/>
    <w:rsid w:val="008B002A"/>
    <w:rsid w:val="008B2FF0"/>
    <w:rsid w:val="008B422F"/>
    <w:rsid w:val="008B5B77"/>
    <w:rsid w:val="008D78C8"/>
    <w:rsid w:val="008E1795"/>
    <w:rsid w:val="008E7C96"/>
    <w:rsid w:val="008F117F"/>
    <w:rsid w:val="008F55B6"/>
    <w:rsid w:val="008F7718"/>
    <w:rsid w:val="00902110"/>
    <w:rsid w:val="009132A4"/>
    <w:rsid w:val="00914D96"/>
    <w:rsid w:val="00915016"/>
    <w:rsid w:val="009156C8"/>
    <w:rsid w:val="00926F38"/>
    <w:rsid w:val="00927BEC"/>
    <w:rsid w:val="00932F8A"/>
    <w:rsid w:val="009518BD"/>
    <w:rsid w:val="00957982"/>
    <w:rsid w:val="00962D13"/>
    <w:rsid w:val="00972B6E"/>
    <w:rsid w:val="0097722A"/>
    <w:rsid w:val="0099140F"/>
    <w:rsid w:val="00997158"/>
    <w:rsid w:val="009A0B4F"/>
    <w:rsid w:val="009A720A"/>
    <w:rsid w:val="009C1B7F"/>
    <w:rsid w:val="009C5E57"/>
    <w:rsid w:val="009D3AF0"/>
    <w:rsid w:val="009D3C84"/>
    <w:rsid w:val="009F1C6A"/>
    <w:rsid w:val="009F6E83"/>
    <w:rsid w:val="00A06DF6"/>
    <w:rsid w:val="00A1044A"/>
    <w:rsid w:val="00A108C5"/>
    <w:rsid w:val="00A124B3"/>
    <w:rsid w:val="00A1479D"/>
    <w:rsid w:val="00A16461"/>
    <w:rsid w:val="00A21972"/>
    <w:rsid w:val="00A2220F"/>
    <w:rsid w:val="00A24DD5"/>
    <w:rsid w:val="00A35518"/>
    <w:rsid w:val="00A50791"/>
    <w:rsid w:val="00A51A64"/>
    <w:rsid w:val="00A534FA"/>
    <w:rsid w:val="00A56AD3"/>
    <w:rsid w:val="00A6357A"/>
    <w:rsid w:val="00A6648E"/>
    <w:rsid w:val="00A73265"/>
    <w:rsid w:val="00A73589"/>
    <w:rsid w:val="00A765AB"/>
    <w:rsid w:val="00A76EA1"/>
    <w:rsid w:val="00A85747"/>
    <w:rsid w:val="00A87CE4"/>
    <w:rsid w:val="00AA662F"/>
    <w:rsid w:val="00AA72C8"/>
    <w:rsid w:val="00AB30A8"/>
    <w:rsid w:val="00AB4A59"/>
    <w:rsid w:val="00AB5C24"/>
    <w:rsid w:val="00AC17E5"/>
    <w:rsid w:val="00AC36C9"/>
    <w:rsid w:val="00AE0C2F"/>
    <w:rsid w:val="00AE6777"/>
    <w:rsid w:val="00AF35E9"/>
    <w:rsid w:val="00B03871"/>
    <w:rsid w:val="00B11F04"/>
    <w:rsid w:val="00B22DA3"/>
    <w:rsid w:val="00B23504"/>
    <w:rsid w:val="00B259A9"/>
    <w:rsid w:val="00B261E6"/>
    <w:rsid w:val="00B338E5"/>
    <w:rsid w:val="00B33FAC"/>
    <w:rsid w:val="00B4134C"/>
    <w:rsid w:val="00B552B7"/>
    <w:rsid w:val="00B55D13"/>
    <w:rsid w:val="00B62A50"/>
    <w:rsid w:val="00B6474E"/>
    <w:rsid w:val="00B64D28"/>
    <w:rsid w:val="00B65CC9"/>
    <w:rsid w:val="00B70643"/>
    <w:rsid w:val="00B7313E"/>
    <w:rsid w:val="00B753D4"/>
    <w:rsid w:val="00B85982"/>
    <w:rsid w:val="00BA5914"/>
    <w:rsid w:val="00BB043C"/>
    <w:rsid w:val="00BB3FA3"/>
    <w:rsid w:val="00BB700D"/>
    <w:rsid w:val="00BB737E"/>
    <w:rsid w:val="00BC26D1"/>
    <w:rsid w:val="00BC2F32"/>
    <w:rsid w:val="00BC3D6D"/>
    <w:rsid w:val="00BD477F"/>
    <w:rsid w:val="00BD4A05"/>
    <w:rsid w:val="00BD78A2"/>
    <w:rsid w:val="00BE0092"/>
    <w:rsid w:val="00BE03A3"/>
    <w:rsid w:val="00BE5D2F"/>
    <w:rsid w:val="00BF0D58"/>
    <w:rsid w:val="00C13435"/>
    <w:rsid w:val="00C2256C"/>
    <w:rsid w:val="00C22841"/>
    <w:rsid w:val="00C263D7"/>
    <w:rsid w:val="00C26B8E"/>
    <w:rsid w:val="00C27ECC"/>
    <w:rsid w:val="00C304AB"/>
    <w:rsid w:val="00C34D9C"/>
    <w:rsid w:val="00C43F51"/>
    <w:rsid w:val="00C456CA"/>
    <w:rsid w:val="00C50048"/>
    <w:rsid w:val="00C52288"/>
    <w:rsid w:val="00C53A66"/>
    <w:rsid w:val="00C5764D"/>
    <w:rsid w:val="00C57BFF"/>
    <w:rsid w:val="00C6720E"/>
    <w:rsid w:val="00C73E96"/>
    <w:rsid w:val="00C75B0D"/>
    <w:rsid w:val="00C763AB"/>
    <w:rsid w:val="00C80188"/>
    <w:rsid w:val="00C8588A"/>
    <w:rsid w:val="00C866F4"/>
    <w:rsid w:val="00C86B3D"/>
    <w:rsid w:val="00CB586A"/>
    <w:rsid w:val="00CB5890"/>
    <w:rsid w:val="00CC0423"/>
    <w:rsid w:val="00CC0B9B"/>
    <w:rsid w:val="00CC167B"/>
    <w:rsid w:val="00CC1EC8"/>
    <w:rsid w:val="00CC4BF5"/>
    <w:rsid w:val="00CD3EBC"/>
    <w:rsid w:val="00CE22B8"/>
    <w:rsid w:val="00CF026E"/>
    <w:rsid w:val="00D07DA5"/>
    <w:rsid w:val="00D11A0D"/>
    <w:rsid w:val="00D144BB"/>
    <w:rsid w:val="00D15495"/>
    <w:rsid w:val="00D16DEA"/>
    <w:rsid w:val="00D17AB7"/>
    <w:rsid w:val="00D203D1"/>
    <w:rsid w:val="00D22FC1"/>
    <w:rsid w:val="00D34836"/>
    <w:rsid w:val="00D427AA"/>
    <w:rsid w:val="00D427D3"/>
    <w:rsid w:val="00D50585"/>
    <w:rsid w:val="00D51472"/>
    <w:rsid w:val="00D51514"/>
    <w:rsid w:val="00D53727"/>
    <w:rsid w:val="00D60037"/>
    <w:rsid w:val="00D61085"/>
    <w:rsid w:val="00D64A59"/>
    <w:rsid w:val="00D9207C"/>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E01C0C"/>
    <w:rsid w:val="00E15066"/>
    <w:rsid w:val="00E32CAF"/>
    <w:rsid w:val="00E33EF6"/>
    <w:rsid w:val="00E33FA5"/>
    <w:rsid w:val="00E358B8"/>
    <w:rsid w:val="00E40660"/>
    <w:rsid w:val="00E47CEC"/>
    <w:rsid w:val="00E50D23"/>
    <w:rsid w:val="00E5216D"/>
    <w:rsid w:val="00E524CA"/>
    <w:rsid w:val="00E56E89"/>
    <w:rsid w:val="00E57F4F"/>
    <w:rsid w:val="00E74B27"/>
    <w:rsid w:val="00E953F5"/>
    <w:rsid w:val="00EB651C"/>
    <w:rsid w:val="00EC791F"/>
    <w:rsid w:val="00ED323B"/>
    <w:rsid w:val="00ED4BE1"/>
    <w:rsid w:val="00EE3FDC"/>
    <w:rsid w:val="00EE5E88"/>
    <w:rsid w:val="00EE6980"/>
    <w:rsid w:val="00EE6F22"/>
    <w:rsid w:val="00EF0905"/>
    <w:rsid w:val="00EF291C"/>
    <w:rsid w:val="00F21FFE"/>
    <w:rsid w:val="00F363F9"/>
    <w:rsid w:val="00F603A0"/>
    <w:rsid w:val="00F60D89"/>
    <w:rsid w:val="00F628B3"/>
    <w:rsid w:val="00F6388A"/>
    <w:rsid w:val="00F639B2"/>
    <w:rsid w:val="00F7180E"/>
    <w:rsid w:val="00F8104C"/>
    <w:rsid w:val="00F81888"/>
    <w:rsid w:val="00F90577"/>
    <w:rsid w:val="00F93CA2"/>
    <w:rsid w:val="00FA15B8"/>
    <w:rsid w:val="00FA27C7"/>
    <w:rsid w:val="00FC5D95"/>
    <w:rsid w:val="00FD0F44"/>
    <w:rsid w:val="00FE7AC2"/>
    <w:rsid w:val="00FF5912"/>
    <w:rsid w:val="00FF765B"/>
    <w:rsid w:val="07904584"/>
    <w:rsid w:val="18187094"/>
    <w:rsid w:val="1CF26FA1"/>
    <w:rsid w:val="1F351B50"/>
    <w:rsid w:val="2AF906B3"/>
    <w:rsid w:val="2CC47A67"/>
    <w:rsid w:val="31FA10E4"/>
    <w:rsid w:val="372F0BFD"/>
    <w:rsid w:val="3F312CF7"/>
    <w:rsid w:val="40457D90"/>
    <w:rsid w:val="4C731936"/>
    <w:rsid w:val="52DD2A86"/>
    <w:rsid w:val="55934C53"/>
    <w:rsid w:val="55EB589D"/>
    <w:rsid w:val="57FCABD1"/>
    <w:rsid w:val="5EA26ECA"/>
    <w:rsid w:val="5FF5F433"/>
    <w:rsid w:val="676E19A4"/>
    <w:rsid w:val="67892C53"/>
    <w:rsid w:val="6DFFBCE8"/>
    <w:rsid w:val="6E456C8F"/>
    <w:rsid w:val="6EC541D9"/>
    <w:rsid w:val="6EDA8BD3"/>
    <w:rsid w:val="6F1C4A10"/>
    <w:rsid w:val="7B7AF2C8"/>
    <w:rsid w:val="DD1F2047"/>
    <w:rsid w:val="EBBE0230"/>
    <w:rsid w:val="F78BE0F9"/>
    <w:rsid w:val="FFFD9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qFormat/>
    <w:uiPriority w:val="9"/>
    <w:pPr>
      <w:keepNext/>
      <w:keepLines/>
      <w:spacing w:before="260" w:after="260" w:line="416" w:lineRule="auto"/>
      <w:outlineLvl w:val="2"/>
    </w:pPr>
    <w:rPr>
      <w:rFonts w:ascii="Calibri" w:hAnsi="Calibri"/>
      <w:b/>
      <w:bCs/>
      <w:sz w:val="32"/>
      <w:szCs w:val="32"/>
    </w:rPr>
  </w:style>
  <w:style w:type="paragraph" w:styleId="6">
    <w:name w:val="heading 4"/>
    <w:basedOn w:val="1"/>
    <w:next w:val="1"/>
    <w:link w:val="27"/>
    <w:qFormat/>
    <w:uiPriority w:val="9"/>
    <w:pPr>
      <w:keepNext/>
      <w:keepLines/>
      <w:spacing w:beforeLines="50" w:after="290" w:line="377" w:lineRule="auto"/>
      <w:ind w:left="987"/>
      <w:outlineLvl w:val="3"/>
    </w:pPr>
    <w:rPr>
      <w:rFonts w:ascii="Cambria" w:hAnsi="Cambria"/>
      <w:b/>
      <w:bCs/>
      <w:color w:val="000000"/>
      <w:sz w:val="30"/>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olor w:val="000000"/>
      <w:kern w:val="0"/>
      <w:sz w:val="24"/>
      <w:szCs w:val="24"/>
    </w:rPr>
  </w:style>
  <w:style w:type="paragraph" w:styleId="7">
    <w:name w:val="annotation text"/>
    <w:basedOn w:val="1"/>
    <w:link w:val="23"/>
    <w:qFormat/>
    <w:uiPriority w:val="99"/>
    <w:pPr>
      <w:jc w:val="left"/>
    </w:pPr>
  </w:style>
  <w:style w:type="paragraph" w:styleId="8">
    <w:name w:val="Body Text"/>
    <w:basedOn w:val="1"/>
    <w:link w:val="24"/>
    <w:qFormat/>
    <w:uiPriority w:val="0"/>
    <w:pPr>
      <w:jc w:val="center"/>
    </w:pPr>
    <w:rPr>
      <w:sz w:val="44"/>
    </w:rPr>
  </w:style>
  <w:style w:type="paragraph" w:styleId="9">
    <w:name w:val="Body Text Indent"/>
    <w:basedOn w:val="1"/>
    <w:link w:val="44"/>
    <w:qFormat/>
    <w:uiPriority w:val="0"/>
    <w:pPr>
      <w:ind w:firstLine="360"/>
    </w:pPr>
  </w:style>
  <w:style w:type="paragraph" w:styleId="10">
    <w:name w:val="Plain Text"/>
    <w:basedOn w:val="1"/>
    <w:link w:val="28"/>
    <w:qFormat/>
    <w:uiPriority w:val="0"/>
    <w:rPr>
      <w:rFonts w:ascii="宋体" w:hAnsi="Courier New" w:eastAsia="仿宋_GB2312"/>
      <w:sz w:val="30"/>
    </w:rPr>
  </w:style>
  <w:style w:type="paragraph" w:styleId="11">
    <w:name w:val="Date"/>
    <w:basedOn w:val="1"/>
    <w:next w:val="1"/>
    <w:qFormat/>
    <w:uiPriority w:val="0"/>
    <w:rPr>
      <w:rFonts w:ascii="仿宋_GB2312" w:eastAsia="仿宋_GB2312"/>
      <w:sz w:val="32"/>
    </w:rPr>
  </w:style>
  <w:style w:type="paragraph" w:styleId="12">
    <w:name w:val="Balloon Text"/>
    <w:basedOn w:val="1"/>
    <w:link w:val="36"/>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kern w:val="0"/>
      <w:sz w:val="24"/>
      <w:szCs w:val="24"/>
    </w:rPr>
  </w:style>
  <w:style w:type="paragraph" w:styleId="16">
    <w:name w:val="annotation subject"/>
    <w:basedOn w:val="7"/>
    <w:next w:val="7"/>
    <w:link w:val="35"/>
    <w:unhideWhenUsed/>
    <w:qFormat/>
    <w:uiPriority w:val="99"/>
    <w:rPr>
      <w:rFonts w:ascii="Calibri" w:hAnsi="Calibri"/>
      <w:b/>
      <w:bCs/>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style>
  <w:style w:type="character" w:styleId="22">
    <w:name w:val="annotation reference"/>
    <w:basedOn w:val="19"/>
    <w:unhideWhenUsed/>
    <w:qFormat/>
    <w:uiPriority w:val="99"/>
    <w:rPr>
      <w:sz w:val="21"/>
      <w:szCs w:val="21"/>
    </w:rPr>
  </w:style>
  <w:style w:type="character" w:customStyle="1" w:styleId="23">
    <w:name w:val="批注文字 Char"/>
    <w:basedOn w:val="19"/>
    <w:link w:val="7"/>
    <w:qFormat/>
    <w:uiPriority w:val="99"/>
    <w:rPr>
      <w:kern w:val="2"/>
      <w:sz w:val="21"/>
    </w:rPr>
  </w:style>
  <w:style w:type="character" w:customStyle="1" w:styleId="24">
    <w:name w:val="正文文本 Char"/>
    <w:link w:val="8"/>
    <w:qFormat/>
    <w:uiPriority w:val="0"/>
    <w:rPr>
      <w:kern w:val="2"/>
      <w:sz w:val="44"/>
    </w:rPr>
  </w:style>
  <w:style w:type="character" w:customStyle="1" w:styleId="25">
    <w:name w:val="标题 3 Char"/>
    <w:basedOn w:val="19"/>
    <w:link w:val="5"/>
    <w:qFormat/>
    <w:uiPriority w:val="9"/>
    <w:rPr>
      <w:rFonts w:ascii="Calibri" w:hAnsi="Calibri" w:eastAsia="宋体" w:cs="Times New Roman"/>
      <w:b/>
      <w:bCs/>
      <w:kern w:val="2"/>
      <w:sz w:val="32"/>
      <w:szCs w:val="32"/>
    </w:rPr>
  </w:style>
  <w:style w:type="character" w:customStyle="1" w:styleId="26">
    <w:name w:val="页脚 Char"/>
    <w:basedOn w:val="19"/>
    <w:link w:val="13"/>
    <w:qFormat/>
    <w:uiPriority w:val="99"/>
    <w:rPr>
      <w:kern w:val="2"/>
      <w:sz w:val="18"/>
      <w:szCs w:val="18"/>
    </w:rPr>
  </w:style>
  <w:style w:type="character" w:customStyle="1" w:styleId="27">
    <w:name w:val="标题 4 Char"/>
    <w:basedOn w:val="19"/>
    <w:link w:val="6"/>
    <w:qFormat/>
    <w:uiPriority w:val="9"/>
    <w:rPr>
      <w:rFonts w:ascii="Cambria" w:hAnsi="Cambria"/>
      <w:b/>
      <w:bCs/>
      <w:color w:val="000000"/>
      <w:kern w:val="2"/>
      <w:sz w:val="30"/>
      <w:szCs w:val="28"/>
    </w:rPr>
  </w:style>
  <w:style w:type="character" w:customStyle="1" w:styleId="28">
    <w:name w:val="纯文本 Char"/>
    <w:basedOn w:val="19"/>
    <w:link w:val="10"/>
    <w:qFormat/>
    <w:uiPriority w:val="0"/>
    <w:rPr>
      <w:rFonts w:ascii="宋体" w:hAnsi="Courier New" w:eastAsia="仿宋_GB2312"/>
      <w:kern w:val="2"/>
      <w:sz w:val="30"/>
    </w:rPr>
  </w:style>
  <w:style w:type="character" w:customStyle="1" w:styleId="29">
    <w:name w:val="标题 1 Char"/>
    <w:basedOn w:val="19"/>
    <w:link w:val="3"/>
    <w:qFormat/>
    <w:uiPriority w:val="9"/>
    <w:rPr>
      <w:rFonts w:ascii="Calibri" w:hAnsi="Calibri" w:eastAsia="宋体" w:cs="Times New Roman"/>
      <w:b/>
      <w:bCs/>
      <w:kern w:val="44"/>
      <w:sz w:val="44"/>
      <w:szCs w:val="44"/>
    </w:rPr>
  </w:style>
  <w:style w:type="character" w:customStyle="1" w:styleId="30">
    <w:name w:val="font11"/>
    <w:basedOn w:val="19"/>
    <w:qFormat/>
    <w:uiPriority w:val="0"/>
    <w:rPr>
      <w:rFonts w:hint="eastAsia" w:ascii="宋体" w:hAnsi="宋体" w:eastAsia="宋体" w:cs="宋体"/>
      <w:color w:val="000000"/>
      <w:sz w:val="24"/>
      <w:szCs w:val="24"/>
      <w:u w:val="none"/>
    </w:rPr>
  </w:style>
  <w:style w:type="character" w:customStyle="1" w:styleId="31">
    <w:name w:val="标题 2 Char"/>
    <w:basedOn w:val="19"/>
    <w:link w:val="4"/>
    <w:qFormat/>
    <w:uiPriority w:val="9"/>
    <w:rPr>
      <w:rFonts w:ascii="Cambria" w:hAnsi="Cambria" w:eastAsia="宋体" w:cs="Times New Roman"/>
      <w:b/>
      <w:bCs/>
      <w:kern w:val="2"/>
      <w:sz w:val="32"/>
      <w:szCs w:val="32"/>
    </w:rPr>
  </w:style>
  <w:style w:type="character" w:customStyle="1" w:styleId="32">
    <w:name w:val="font21"/>
    <w:basedOn w:val="19"/>
    <w:qFormat/>
    <w:uiPriority w:val="0"/>
    <w:rPr>
      <w:rFonts w:hint="eastAsia" w:ascii="宋体" w:hAnsi="宋体" w:eastAsia="宋体" w:cs="宋体"/>
      <w:color w:val="000000"/>
      <w:sz w:val="32"/>
      <w:szCs w:val="32"/>
      <w:u w:val="none"/>
    </w:rPr>
  </w:style>
  <w:style w:type="character" w:customStyle="1" w:styleId="33">
    <w:name w:val="font31"/>
    <w:basedOn w:val="19"/>
    <w:qFormat/>
    <w:uiPriority w:val="0"/>
    <w:rPr>
      <w:rFonts w:hint="eastAsia" w:ascii="宋体" w:hAnsi="宋体" w:eastAsia="宋体" w:cs="宋体"/>
      <w:color w:val="000000"/>
      <w:sz w:val="32"/>
      <w:szCs w:val="32"/>
      <w:u w:val="single"/>
    </w:rPr>
  </w:style>
  <w:style w:type="character" w:customStyle="1" w:styleId="34">
    <w:name w:val="页眉 Char"/>
    <w:link w:val="14"/>
    <w:qFormat/>
    <w:uiPriority w:val="99"/>
    <w:rPr>
      <w:kern w:val="2"/>
      <w:sz w:val="18"/>
      <w:szCs w:val="18"/>
    </w:rPr>
  </w:style>
  <w:style w:type="character" w:customStyle="1" w:styleId="35">
    <w:name w:val="批注主题 Char"/>
    <w:basedOn w:val="23"/>
    <w:link w:val="16"/>
    <w:qFormat/>
    <w:uiPriority w:val="99"/>
    <w:rPr>
      <w:rFonts w:ascii="Calibri" w:hAnsi="Calibri" w:eastAsia="宋体" w:cs="Times New Roman"/>
      <w:b/>
      <w:bCs/>
      <w:szCs w:val="22"/>
    </w:rPr>
  </w:style>
  <w:style w:type="character" w:customStyle="1" w:styleId="36">
    <w:name w:val="批注框文本 Char"/>
    <w:link w:val="12"/>
    <w:qFormat/>
    <w:uiPriority w:val="99"/>
    <w:rPr>
      <w:kern w:val="2"/>
      <w:sz w:val="18"/>
      <w:szCs w:val="18"/>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List Paragraph"/>
    <w:basedOn w:val="1"/>
    <w:qFormat/>
    <w:uiPriority w:val="34"/>
    <w:pPr>
      <w:ind w:firstLine="420" w:firstLineChars="200"/>
    </w:pPr>
    <w:rPr>
      <w:rFonts w:ascii="Calibri" w:hAnsi="Calibri"/>
      <w:szCs w:val="24"/>
    </w:rPr>
  </w:style>
  <w:style w:type="paragraph" w:customStyle="1" w:styleId="39">
    <w:name w:val="默认段落字体 Para Char Char Char Char Char Char Char"/>
    <w:basedOn w:val="1"/>
    <w:qFormat/>
    <w:uiPriority w:val="0"/>
    <w:rPr>
      <w:rFonts w:ascii="Tahoma" w:hAnsi="Tahoma"/>
      <w:sz w:val="24"/>
    </w:rPr>
  </w:style>
  <w:style w:type="paragraph" w:customStyle="1" w:styleId="4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41">
    <w:name w:val="列出段落1"/>
    <w:basedOn w:val="1"/>
    <w:qFormat/>
    <w:uiPriority w:val="34"/>
    <w:pPr>
      <w:ind w:firstLine="420" w:firstLineChars="200"/>
    </w:pPr>
    <w:rPr>
      <w:rFonts w:ascii="Calibri" w:hAnsi="Calibri"/>
      <w:szCs w:val="24"/>
    </w:rPr>
  </w:style>
  <w:style w:type="paragraph" w:customStyle="1" w:styleId="42">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43">
    <w:name w:val="fontstyle01"/>
    <w:basedOn w:val="19"/>
    <w:qFormat/>
    <w:uiPriority w:val="0"/>
    <w:rPr>
      <w:rFonts w:hint="eastAsia" w:ascii="仿宋_GB2312" w:eastAsia="仿宋_GB2312"/>
      <w:color w:val="000000"/>
      <w:sz w:val="32"/>
      <w:szCs w:val="32"/>
    </w:rPr>
  </w:style>
  <w:style w:type="character" w:customStyle="1" w:styleId="44">
    <w:name w:val="正文文本缩进 Char"/>
    <w:basedOn w:val="19"/>
    <w:link w:val="9"/>
    <w:qFormat/>
    <w:uiPriority w:val="0"/>
    <w:rPr>
      <w:kern w:val="2"/>
      <w:sz w:val="21"/>
    </w:rPr>
  </w:style>
  <w:style w:type="paragraph" w:customStyle="1" w:styleId="45">
    <w:name w:val="样式4"/>
    <w:basedOn w:val="1"/>
    <w:qFormat/>
    <w:uiPriority w:val="0"/>
    <w:pPr>
      <w:spacing w:line="560" w:lineRule="exact"/>
      <w:ind w:firstLine="1040" w:firstLineChars="200"/>
    </w:pPr>
    <w:rPr>
      <w:rFonts w:eastAsia="仿宋_GB2312"/>
      <w:b/>
      <w:sz w:val="32"/>
      <w:szCs w:val="24"/>
    </w:rPr>
  </w:style>
  <w:style w:type="paragraph" w:customStyle="1" w:styleId="46">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3"/>
      <w:jc w:val="left"/>
      <w:outlineLvl w:val="2"/>
    </w:pPr>
    <w:rPr>
      <w:rFonts w:ascii="宋体" w:hAnsi="宋体"/>
      <w:kern w:val="0"/>
      <w:sz w:val="29"/>
      <w:szCs w:val="29"/>
      <w:lang w:eastAsia="en-US"/>
    </w:rPr>
  </w:style>
  <w:style w:type="character" w:customStyle="1" w:styleId="48">
    <w:name w:val="NormalCharacter"/>
    <w:semiHidden/>
    <w:qFormat/>
    <w:uiPriority w:val="0"/>
  </w:style>
  <w:style w:type="character" w:customStyle="1" w:styleId="49">
    <w:name w:val="Hei Ti"/>
    <w:qFormat/>
    <w:uiPriority w:val="0"/>
    <w:rPr>
      <w:rFonts w:ascii="黑体" w:hAnsi="黑体" w:eastAsia="黑体" w:cs="黑体"/>
      <w:sz w:val="32"/>
    </w:rPr>
  </w:style>
  <w:style w:type="character" w:customStyle="1" w:styleId="50">
    <w:name w:val="Hei Ti Bold"/>
    <w:qFormat/>
    <w:uiPriority w:val="0"/>
    <w:rPr>
      <w:rFonts w:ascii="黑体" w:hAnsi="黑体" w:eastAsia="黑体" w:cs="黑体"/>
      <w:b/>
      <w:sz w:val="32"/>
    </w:rPr>
  </w:style>
  <w:style w:type="character" w:customStyle="1" w:styleId="51">
    <w:name w:val="Hei Ti Bold1"/>
    <w:qFormat/>
    <w:uiPriority w:val="0"/>
    <w:rPr>
      <w:rFonts w:ascii="黑体" w:hAnsi="黑体" w:eastAsia="黑体" w:cs="黑体"/>
      <w:b/>
      <w:sz w:val="36"/>
    </w:rPr>
  </w:style>
  <w:style w:type="character" w:customStyle="1" w:styleId="52">
    <w:name w:val="GB_2312"/>
    <w:qFormat/>
    <w:uiPriority w:val="0"/>
    <w:rPr>
      <w:rFonts w:ascii="仿宋_GB2312" w:hAnsi="仿宋_GB2312" w:eastAsia="仿宋_GB2312" w:cs="仿宋_GB2312"/>
      <w:sz w:val="32"/>
    </w:rPr>
  </w:style>
  <w:style w:type="character" w:customStyle="1" w:styleId="53">
    <w:name w:val="GB_23121"/>
    <w:qFormat/>
    <w:uiPriority w:val="0"/>
    <w:rPr>
      <w:rFonts w:ascii="仿宋_GB2312" w:hAnsi="仿宋_GB2312" w:eastAsia="仿宋_GB2312" w:cs="仿宋_GB2312"/>
      <w:sz w:val="36"/>
    </w:rPr>
  </w:style>
  <w:style w:type="character" w:customStyle="1" w:styleId="54">
    <w:name w:val="Red_Color"/>
    <w:qFormat/>
    <w:uiPriority w:val="0"/>
    <w:rPr>
      <w:rFonts w:ascii="方正小标宋简体" w:hAnsi="方正小标宋简体" w:eastAsia="方正小标宋简体" w:cs="方正小标宋简体"/>
      <w:color w:val="000000"/>
      <w:sz w:val="65"/>
    </w:rPr>
  </w:style>
  <w:style w:type="character" w:customStyle="1" w:styleId="55">
    <w:name w:val="KaiTi"/>
    <w:qFormat/>
    <w:uiPriority w:val="0"/>
    <w:rPr>
      <w:rFonts w:ascii="楷体_GB2312" w:hAnsi="楷体_GB2312" w:eastAsia="楷体_GB2312" w:cs="楷体_GB2312"/>
      <w:sz w:val="32"/>
    </w:rPr>
  </w:style>
  <w:style w:type="character" w:customStyle="1" w:styleId="5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4020</Words>
  <Characters>4046</Characters>
  <Lines>1</Lines>
  <Paragraphs>1</Paragraphs>
  <TotalTime>22</TotalTime>
  <ScaleCrop>false</ScaleCrop>
  <LinksUpToDate>false</LinksUpToDate>
  <CharactersWithSpaces>4139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2009-10-08T22:16:00Z</dcterms:created>
  <dc:creator>linhong</dc:creator>
  <cp:lastModifiedBy>sugon</cp:lastModifiedBy>
  <cp:lastPrinted>2021-07-18T08:04:00Z</cp:lastPrinted>
  <dcterms:modified xsi:type="dcterms:W3CDTF">2022-12-30T10:53:28Z</dcterms:modified>
  <dc:title>塘计[2004]1号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