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240" w:lineRule="auto"/>
        <w:ind w:left="0" w:leftChars="0" w:right="0" w:rightChars="0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240" w:lineRule="auto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准予行政许可决定书（样本）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240" w:lineRule="auto"/>
        <w:ind w:left="0" w:leftChars="0" w:right="0" w:rightChars="0" w:firstLine="5600" w:firstLineChars="175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编号：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240" w:lineRule="auto"/>
        <w:ind w:left="0" w:leftChars="0" w:right="0" w:rightChars="0"/>
        <w:jc w:val="right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240" w:lineRule="auto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（企业名称）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240" w:lineRule="auto"/>
        <w:ind w:left="0" w:leftChars="0" w:right="0" w:righ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你单位实行特殊工时工作制（首次申请、延续申请）的行政许可申请，已由我局于    年  月  日受理。经审查，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0"/>
          <w:szCs w:val="30"/>
        </w:rPr>
        <w:t>申请符合国家、省及我市有关法律法规规定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</w:rPr>
        <w:t>依据《中华人民共和国行政许可法》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第三十八条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第一款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关于企业实行不定时工作制和综合计算工时工作制的审批办法</w:t>
      </w:r>
      <w:r>
        <w:rPr>
          <w:rFonts w:hint="eastAsia" w:ascii="仿宋_GB2312" w:hAnsi="仿宋_GB2312" w:eastAsia="仿宋_GB2312" w:cs="仿宋_GB2312"/>
          <w:sz w:val="30"/>
          <w:szCs w:val="30"/>
        </w:rPr>
        <w:t>》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第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条第   款</w:t>
      </w:r>
      <w:r>
        <w:rPr>
          <w:rFonts w:hint="eastAsia" w:ascii="仿宋_GB2312" w:hAnsi="仿宋_GB2312" w:eastAsia="仿宋_GB2312" w:cs="仿宋_GB2312"/>
          <w:sz w:val="30"/>
          <w:szCs w:val="30"/>
        </w:rPr>
        <w:t>规定，决定准予你单位实行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特殊工时工作制</w:t>
      </w:r>
      <w:r>
        <w:rPr>
          <w:rFonts w:hint="eastAsia" w:ascii="仿宋_GB2312" w:hAnsi="仿宋_GB2312" w:eastAsia="仿宋_GB2312" w:cs="仿宋_GB2312"/>
          <w:sz w:val="30"/>
          <w:szCs w:val="30"/>
        </w:rPr>
        <w:t>（许可事项附后）。本行政许可有效期为    年   月  日至   年  月  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240" w:lineRule="auto"/>
        <w:ind w:left="0" w:leftChars="0" w:right="0" w:righ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请自收到本决定书之日起5日内向全体劳动者公示《准予行政许可决定书》（公示时间不少于5个工作日），并严格按照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许可范围</w:t>
      </w:r>
      <w:r>
        <w:rPr>
          <w:rFonts w:hint="eastAsia" w:ascii="仿宋_GB2312" w:hAnsi="仿宋_GB2312" w:eastAsia="仿宋_GB2312" w:cs="仿宋_GB2312"/>
          <w:sz w:val="30"/>
          <w:szCs w:val="30"/>
        </w:rPr>
        <w:t>组织实施，切实保障劳动者的休息休假权利。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240" w:lineRule="auto"/>
        <w:ind w:left="0" w:leftChars="0" w:right="0" w:rightChars="0" w:firstLine="4800" w:firstLineChars="1600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240" w:lineRule="auto"/>
        <w:ind w:right="0" w:rightChars="0" w:firstLine="6300" w:firstLineChars="21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（审批机关盖章）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240" w:lineRule="auto"/>
        <w:ind w:left="0" w:leftChars="0" w:right="0" w:rightChars="0" w:firstLine="6600" w:firstLineChars="2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年   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240" w:lineRule="auto"/>
        <w:ind w:left="0" w:leftChars="0" w:right="0" w:rightChars="0" w:firstLine="3200" w:firstLineChars="800"/>
        <w:jc w:val="both"/>
        <w:textAlignment w:val="auto"/>
        <w:rPr>
          <w:rFonts w:hint="eastAsia" w:ascii="新宋体" w:hAnsi="新宋体" w:eastAsia="新宋体" w:cs="新宋体"/>
          <w:sz w:val="40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240" w:lineRule="auto"/>
        <w:ind w:left="0" w:leftChars="0" w:right="0" w:rightChars="0" w:firstLine="3600" w:firstLineChars="1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许可事项</w:t>
      </w:r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3338"/>
        <w:gridCol w:w="297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80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32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登记地址</w:t>
            </w:r>
          </w:p>
        </w:tc>
        <w:tc>
          <w:tcPr>
            <w:tcW w:w="80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32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类型</w:t>
            </w:r>
          </w:p>
        </w:tc>
        <w:tc>
          <w:tcPr>
            <w:tcW w:w="3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实行不定时工作制</w:t>
            </w:r>
          </w:p>
        </w:tc>
        <w:tc>
          <w:tcPr>
            <w:tcW w:w="4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实行综合计算工时工作制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内容</w:t>
            </w:r>
          </w:p>
        </w:tc>
        <w:tc>
          <w:tcPr>
            <w:tcW w:w="3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岗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位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岗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计算周期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32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32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32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32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32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32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32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32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32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32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32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32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32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32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32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32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32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32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32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32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32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32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32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632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pStyle w:val="3"/>
      </w:pPr>
    </w:p>
    <w:p>
      <w:pPr>
        <w:pStyle w:val="3"/>
        <w:pBdr>
          <w:bottom w:val="single" w:color="auto" w:sz="4" w:space="0"/>
        </w:pBd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送达回执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0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288290</wp:posOffset>
                </wp:positionV>
                <wp:extent cx="400050" cy="952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356860" y="6182995"/>
                          <a:ext cx="400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74.05pt;margin-top:22.7pt;height:0.75pt;width:31.5pt;z-index:251659264;mso-width-relative:page;mso-height-relative:page;" filled="f" stroked="t" coordsize="21600,21600" o:gfxdata="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/Ngdt1wAAAAkBAAAPAAAA&#10;AAAAAAEAIAAAACIAAABkcnMvZG93bnJldi54bWxQSwECFAAUAAAACACHTuJAAfe08t0BAAB7AwAA&#10;DgAAAAAAAAABACAAAAAmAQAAZHJzL2Uyb0RvYy54bWxQSwUGAAAAAAYABgBZAQAAd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现已收到《准予行政许可决定书》第     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800" w:firstLineChars="16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000" w:firstLineChars="20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签收人：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年   月   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left"/>
        <w:textAlignment w:val="auto"/>
        <w:rPr>
          <w:color w:val="FF0000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采取邮寄送达方式的，留存邮寄单据备查并及时查询签收情况予以记录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A2E91"/>
    <w:rsid w:val="230A2E91"/>
    <w:rsid w:val="591B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Calibri" w:hAnsi="Calibri" w:cs="Times New Roman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footer"/>
    <w:basedOn w:val="1"/>
    <w:next w:val="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武汉市人社局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2021-11-15T03:22:00Z</dcterms:created>
  <dc:creator>刘增超</dc:creator>
  <cp:lastModifiedBy>刘增超</cp:lastModifiedBy>
  <dcterms:modified xsi:type="dcterms:W3CDTF">2021-11-15T03:22:39Z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