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</w:p>
    <w:p>
      <w:pPr>
        <w:widowControl/>
        <w:spacing w:line="375" w:lineRule="atLeast"/>
        <w:jc w:val="center"/>
        <w:rPr>
          <w:rFonts w:ascii="Times New Roman" w:hAnsi="Times New Roman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75" w:lineRule="atLeast"/>
        <w:jc w:val="center"/>
        <w:rPr>
          <w:rFonts w:ascii="Times New Roman" w:hAnsi="Times New Roman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7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7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72"/>
          <w:szCs w:val="44"/>
          <w14:textFill>
            <w14:solidFill>
              <w14:schemeClr w14:val="tx1"/>
            </w14:solidFill>
          </w14:textFill>
        </w:rPr>
        <w:t>工 伤 认 定 申 请 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ascii="Times New Roman" w:hAnsi="Times New Roman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申请人：</w:t>
      </w: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受伤害职工：</w:t>
      </w: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960" w:firstLineChars="300"/>
        <w:jc w:val="left"/>
        <w:textAlignment w:val="auto"/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申请人与受伤害职工关系：</w:t>
      </w: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960" w:firstLineChars="300"/>
        <w:jc w:val="left"/>
        <w:textAlignment w:val="auto"/>
        <w:rPr>
          <w:rFonts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申请人联系电话：</w:t>
      </w: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center"/>
        <w:textAlignment w:val="auto"/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center"/>
        <w:textAlignment w:val="auto"/>
        <w:rPr>
          <w:rFonts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填表日期：</w:t>
      </w:r>
      <w:r>
        <w:rPr>
          <w:rFonts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宋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Times New Roman" w:hAnsi="Times New Roman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Times New Roman" w:hAnsi="Times New Roman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黑体" w:hAnsi="黑体" w:eastAsia="黑体" w:cs="黑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人力资源和社会保障厅印制</w:t>
      </w:r>
    </w:p>
    <w:tbl>
      <w:tblPr>
        <w:tblStyle w:val="5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571"/>
        <w:gridCol w:w="1334"/>
        <w:gridCol w:w="900"/>
        <w:gridCol w:w="974"/>
        <w:gridCol w:w="1923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职工姓名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tcBorders>
              <w:top w:val="nil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人及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090" w:type="dxa"/>
            <w:tcBorders>
              <w:top w:val="nil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职业、工种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或工作岗位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事故时间、地点及主要原因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诊断时间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受伤害部位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职业病名称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接触职业病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危害岗位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接触职业病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危害时间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1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受伤害经过简述（可附页）</w:t>
            </w:r>
          </w:p>
        </w:tc>
        <w:tc>
          <w:tcPr>
            <w:tcW w:w="7221" w:type="dxa"/>
            <w:gridSpan w:val="5"/>
          </w:tcPr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9381" w:type="dxa"/>
            <w:gridSpan w:val="7"/>
          </w:tcPr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申请事项：</w:t>
            </w:r>
          </w:p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</w:p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　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　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（本栏目由受伤害职工或者其近亲属、工会组织填写）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9381" w:type="dxa"/>
            <w:gridSpan w:val="7"/>
          </w:tcPr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用人单位意见：</w:t>
            </w:r>
          </w:p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idowControl/>
              <w:spacing w:line="375" w:lineRule="atLeast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月　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58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textAlignment w:val="auto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社会保险行政部门审查资料和受理意见</w:t>
            </w:r>
          </w:p>
        </w:tc>
        <w:tc>
          <w:tcPr>
            <w:tcW w:w="8792" w:type="dxa"/>
            <w:gridSpan w:val="6"/>
            <w:vAlign w:val="bottom"/>
          </w:tcPr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　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2" w:type="dxa"/>
            <w:gridSpan w:val="6"/>
            <w:vAlign w:val="bottom"/>
          </w:tcPr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idowControl/>
              <w:spacing w:line="375" w:lineRule="atLeast"/>
              <w:ind w:firstLine="5600" w:firstLineChars="2000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　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381" w:type="dxa"/>
            <w:gridSpan w:val="7"/>
          </w:tcPr>
          <w:p>
            <w:pPr>
              <w:widowControl/>
              <w:spacing w:line="375" w:lineRule="atLeast"/>
              <w:rPr>
                <w:rFonts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rPr>
          <w:rFonts w:ascii="Times New Roman" w:hAnsi="Times New Roman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填</w:t>
      </w:r>
      <w:r>
        <w:rPr>
          <w:rFonts w:ascii="Times New Roman" w:hAnsi="Times New Roman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表</w:t>
      </w:r>
      <w:r>
        <w:rPr>
          <w:rFonts w:ascii="Times New Roman" w:hAnsi="Times New Roman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说</w:t>
      </w:r>
      <w:r>
        <w:rPr>
          <w:rFonts w:ascii="Times New Roman" w:hAnsi="Times New Roman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用钢笔或签字笔填写，字体工整清楚。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申请人为用人单位的，在首页申请人处加盖单位公章。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受伤害部位一栏填写受伤害的具体部位。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诊断时间一栏，职业病者，按职业病确诊时间填写；受伤或死亡的，按初诊时间填写。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受伤害经过简述，应写明事故发生的时间、地点，当时所从事的工作，受伤害的原因以及伤害部位和程度。职业病患者应写明在何单位从事何种有害作业，起止时间，确诊结果。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申请人提出工伤认定申请时，应当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出具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受伤害职工的居民身份证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，提交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医疗机构出具的职工受伤害时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初诊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诊断证明书、职业病诊断证明书或者职业病诊断鉴定书等医学文件；职工受伤害或者诊断患职业病时与用人单位之间的劳动、聘用合同或者其他存在劳动、人事关系的证明。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有下列情形之一的，还应当分别提交相应证据：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受伤害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职工死亡的，提交死亡证明；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（二）在工作时间和工作场所内，因履行工作职责受到暴力等意外伤害的，提交人民法院生效裁决文书或者公安机关的证明或者其他有效证明；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在上下班途中，受到非本人负主要责任的交通事故或者城市轨道交通、客运轮渡、火车事故伤害的，提交有权机构出具的事故责任认定书、结论性意见或者人民法院生效裁决文书，或者其他相关部门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（四）因工外出期间，由于工作原因受到伤害的，提交有权机构出具的证明或者其他有效证明；因发生事故下落不明，提出因工死亡认定申请的，提交人民法院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"http://baike.baidu.com/subview/10824/10824.htm" \t "_blank" </w:instrTex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宣告死亡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的法律文书；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（五）在抢险救灾等维护国家利益、公共利益活动中受到伤害的，提交民政部门或者其他相关部门的证明；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（六）因战、因公负伤致残的转业、复员、退伍军人，到用人单位后旧伤复发的，提交《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"http://baike.baidu.com/subview/10554687/10743763.htm" \t "_blank" </w:instrTex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中华人民共和国残疾军人证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》及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"http://baike.baidu.com/subview/4418981/4418981.htm" \t "_blank" </w:instrTex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劳动能力鉴定委员会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的旧伤复发鉴定证明。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申请事项栏，应写明受伤害职工或者其近亲属、工会组织提出工伤认定申请并签字。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用人单位意见栏，应签署是否同意申请工伤，所填情况是否属实，经办人签字并加盖单位公章。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下列情形之一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导致用人单位延误工伤认定申请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还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应在用人单位意见栏予以说明，并提供有关证据材料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（一）受不可抗力影响的；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（二）申请人正式提交了工伤认定申请，但因社会保险机构未登记或者材料遗失等原因造成申请超时限的；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宋体" w:cs="Times New Roman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宋体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当事人就确认劳动关系申请劳动仲裁或提起民事诉讼的；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）其他符合法律法规规定的情形。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0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社会保险行政部门审查资料和受理意见栏，应填写补正材料或是否受理的意见。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若用人单位填写延误说明的，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社会保险行政部门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还应在本栏填写确认是否延误以及延误时间的意见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此表一式二份，社会保险行政部门、申请人各留存一份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并抄送社会保险经办机构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480" w:lineRule="exact"/>
        <w:ind w:right="105" w:rightChars="50"/>
        <w:jc w:val="left"/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right="105" w:rightChars="50"/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strike w:val="0"/>
          <w:dstrike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strike w:val="0"/>
          <w:dstrike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strike w:val="0"/>
          <w:dstrike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strike w:val="0"/>
          <w:dstrike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工伤认定申请材料接收清单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105" w:rightChars="50" w:firstLine="0" w:firstLineChars="0"/>
        <w:jc w:val="left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申请人：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伤害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职工姓名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</w:p>
    <w:tbl>
      <w:tblPr>
        <w:tblStyle w:val="5"/>
        <w:tblW w:w="86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818"/>
        <w:gridCol w:w="1137"/>
        <w:gridCol w:w="1096"/>
        <w:gridCol w:w="15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2" w:type="dxa"/>
            <w:vAlign w:val="center"/>
          </w:tcPr>
          <w:p>
            <w:pPr>
              <w:spacing w:line="500" w:lineRule="exact"/>
              <w:ind w:right="105" w:rightChars="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18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材 料 名 称</w:t>
            </w: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ind w:right="105" w:rightChars="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1096" w:type="dxa"/>
            <w:vAlign w:val="center"/>
          </w:tcPr>
          <w:p>
            <w:pPr>
              <w:spacing w:line="500" w:lineRule="exact"/>
              <w:ind w:right="105" w:rightChars="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页数</w:t>
            </w:r>
          </w:p>
        </w:tc>
        <w:tc>
          <w:tcPr>
            <w:tcW w:w="1596" w:type="dxa"/>
            <w:vAlign w:val="center"/>
          </w:tcPr>
          <w:p>
            <w:pPr>
              <w:spacing w:line="500" w:lineRule="exact"/>
              <w:ind w:right="105" w:rightChars="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材料性质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8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8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8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8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8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8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8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8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500" w:lineRule="exact"/>
              <w:ind w:right="105" w:rightChars="50" w:firstLine="60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92" w:type="dxa"/>
            <w:vAlign w:val="center"/>
          </w:tcPr>
          <w:p>
            <w:pPr>
              <w:spacing w:line="400" w:lineRule="exact"/>
              <w:ind w:right="105" w:rightChars="50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7647" w:type="dxa"/>
            <w:gridSpan w:val="4"/>
            <w:vAlign w:val="center"/>
          </w:tcPr>
          <w:p>
            <w:pPr>
              <w:spacing w:line="400" w:lineRule="exact"/>
              <w:ind w:right="105" w:rightChars="50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.本清单在现场提交材料时同步填写，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含证明材料、补正材料等，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现场提交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一次材料，均应填写一次清单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00" w:lineRule="exact"/>
              <w:ind w:right="105" w:rightChar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材料性质是指材料系原件或者复印件或者电子存储介质（光盘、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盘等）；</w:t>
            </w:r>
          </w:p>
          <w:p>
            <w:pPr>
              <w:spacing w:line="400" w:lineRule="exact"/>
              <w:ind w:right="105" w:rightChar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本清单一式两份，核对无误后，双方签字确认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申请人和社会保险行政部门各留存一份。</w:t>
            </w:r>
          </w:p>
        </w:tc>
      </w:tr>
    </w:tbl>
    <w:p>
      <w:pPr>
        <w:spacing w:line="400" w:lineRule="exact"/>
        <w:ind w:right="105" w:rightChars="50" w:firstLine="150" w:firstLineChars="5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right="105" w:rightChars="5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申请人（经办人）（签字）：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400" w:lineRule="exact"/>
        <w:ind w:right="105" w:rightChars="50" w:firstLine="150" w:firstLineChars="5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right="105" w:rightChars="5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社会保险行政部门经办人（签字）：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480" w:lineRule="exact"/>
        <w:ind w:right="105" w:rightChars="50"/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right="105" w:rightChars="50"/>
        <w:jc w:val="left"/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工伤认定申请受理决定书</w:t>
      </w:r>
    </w:p>
    <w:p>
      <w:pPr>
        <w:ind w:firstLine="600" w:firstLineChars="200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工伤受理〔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ind w:firstLine="600" w:firstLineChars="200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ind w:firstLine="600" w:firstLineChars="2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（单位）于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日提交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的工伤认定申请收悉。经审查，符合工伤认定受理条件，现予以受理。</w:t>
      </w:r>
    </w:p>
    <w:p>
      <w:pPr>
        <w:ind w:firstLine="600" w:firstLineChars="2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>
      <w:pPr>
        <w:ind w:firstLine="60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ind w:right="105" w:rightChars="50"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Times New Roman" w:hAnsi="Times New Roman" w:eastAsia="仿宋_GB2312" w:cs="Times New Roman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注：本决定书一式三份，社会保险行政部门、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伤害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职工或者其近亲属、用人单位各留存一份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并抄送社会保险经办机构。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ind w:firstLine="516" w:firstLineChars="200"/>
        <w:rPr>
          <w:rFonts w:ascii="Times New Roman" w:hAnsi="Times New Roman" w:eastAsia="仿宋_GB2312" w:cs="Times New Roman"/>
          <w:color w:val="000000" w:themeColor="text1"/>
          <w:spacing w:val="-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right="105" w:rightChars="50"/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right="105" w:rightChars="50"/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right="105" w:rightChars="50"/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right="105" w:rightChars="50"/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right="105" w:rightChars="50"/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工伤认定申请不予受理决定书</w:t>
      </w:r>
    </w:p>
    <w:p>
      <w:pPr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工伤不予受理〔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你（单位）于　　年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日提交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的工伤认定申请收悉。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经审查：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widowControl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不符合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工伤认定的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受理条件，现决定不予受理。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如对本决定不服，可在接到决定书之日起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日内向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申请行政复议，或者六个月内向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人民法院提起行政诉讼。</w:t>
      </w:r>
    </w:p>
    <w:p>
      <w:pPr>
        <w:tabs>
          <w:tab w:val="left" w:pos="540"/>
        </w:tabs>
        <w:ind w:firstLine="60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（盖章）</w:t>
      </w:r>
    </w:p>
    <w:p>
      <w:pPr>
        <w:tabs>
          <w:tab w:val="left" w:pos="540"/>
        </w:tabs>
        <w:wordWrap w:val="0"/>
        <w:jc w:val="righ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40" w:lineRule="exact"/>
        <w:ind w:firstLine="560" w:firstLineChars="200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60" w:firstLineChars="200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（注：本决定书一式三份，社会保险行政部门、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伤害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职工或者其近亲属、用人单位各留存一份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并抄送社会保险经办机构。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40" w:lineRule="exact"/>
        <w:ind w:firstLine="560" w:firstLineChars="200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工伤认定申请补正材料告知书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jc w:val="right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工伤补正〔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您（贵单位）于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日向我局提交的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工伤认定申请收悉，根据《工伤保险条例》《工伤认定办法》《湖北省工伤保险实施办法》《湖北省工伤认定工作规程（试行）》的规定，经审核，需补充以下材料（打“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”的为需补充的材料）：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一、工伤认定申请应提交的材料（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未能在规定时限内完成补正的，且超过工伤认定受理时限的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，社会保险行政部门将不予受理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工伤认定申请表；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与用人单位存在劳动关系、人事关系的证明材料；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医疗机构出具的医疗诊断证明（含职工受伤害时的初次诊断证明）或者依法承担职业病诊断的医疗、卫生机构出具的职业病诊断证明书（或者职业病诊断鉴定书）；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有委托代理人的，提交授权委托书、委托代理人身份证明；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伤害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职工近亲属提出申请的，提交有效的近亲属关系证明；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工会组织提出申请的，提交工会介绍信和办理人身份证明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有下列情形之一的，申请人分别提交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证据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1.受伤害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职工死亡的，提交死亡证明；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在工作时间和工作场所内，因履行工作职责受到暴力等意外伤害的，提交人民法院生效裁决文书或者公安机关的证明或者其他有效证明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在上下班途中，受到非本人负主要责任的交通事故或者城市轨道交通、客运轮渡、火车事故伤害的，提交有权机构出具的事故责任认定书、结论性意见或者人民法院生效裁决文书，或者其他相关部门的证明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因工外出期间，由于工作原因受到伤害的，提交有权机构出具的证明或者其他有效证明；因发生事故下落不明，提出因工死亡认定申请的，提交人民法院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"http://baike.baidu.com/subview/10824/10824.htm" \t "_blank" </w:instrTex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宣告死亡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的法律文书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在抢险救灾等维护国家利益、公共利益活动中受到伤害的，提交民政部门或者其他相关部门的证明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因战、因公负伤致残的转业、复员、退伍军人，到用人单位后旧伤复发的，提交《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"http://baike.baidu.com/subview/10554687/10743763.htm" \t "_blank" </w:instrTex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中华人民共和国残疾军人证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》及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"http://baike.baidu.com/subview/4418981/4418981.htm" \t "_blank" </w:instrTex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劳动能力鉴定委员会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的旧伤复发鉴定证明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其他特殊情况，需提交能够证明情况的材料。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以上勾选材料请于   月   日前提交，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待您（贵单位）将材料补齐后，我局再决定是否受理。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>
      <w:pPr>
        <w:ind w:firstLine="600" w:firstLineChars="200"/>
        <w:jc w:val="left"/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80" w:lineRule="exact"/>
        <w:ind w:right="105" w:rightChars="50"/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工伤认定申请举证告知书</w:t>
      </w:r>
    </w:p>
    <w:p>
      <w:pPr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工伤举证〔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你单位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（受伤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害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职工姓名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及身份证号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码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）以其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月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日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为由，于   年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日向我局提出工伤认定申请，我局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已于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年  月  日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依法受理。根据《工伤保险条例》第十九条、《工伤认定办法》第十七条和《湖北省工伤保险实施办法》第二十三条的规定，请你单位自收到本通知书之日起15日内将单位依法设立或注册登记的文件证明（营业执照或事业单位法人证书等）复印件、受伤人受伤救治经过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的证明材料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对受伤人工伤认定的意见及其相关的有效证据等材料（以上材料一式两份）提交我局。逾期不提交，视为自动放弃举证权利，按照《工伤认定办法》第十七条和《湖北省工伤保险实施办法》第二十三条的规定，我局将依据申请人提供的证据材料依法做出认定结论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>
      <w:pPr>
        <w:wordWrap w:val="0"/>
        <w:ind w:firstLine="600"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年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月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日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认定工伤决定书</w:t>
      </w:r>
    </w:p>
    <w:p>
      <w:pPr>
        <w:spacing w:line="600" w:lineRule="exact"/>
        <w:jc w:val="righ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工伤认定〔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4" w:lineRule="exact"/>
        <w:ind w:firstLine="6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申请人：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受伤害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职工姓名：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性别：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年龄：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身份证号码：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用人单位：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法定代表人：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职业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工种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工作岗位：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事故时间：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事故地点：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申请类别：（个人或单位）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诊断时间：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受伤害部位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职业病名称：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受伤害经过、医疗救治的基本情况和诊断结论：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4" w:lineRule="exact"/>
        <w:ind w:firstLine="6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我局于　年　月　日受理　　　　　的工伤认定申请后，根据提交的材料调查核实情况如下：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4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　同志受到的事故伤害（或患职业病），符合《工伤保险条例》第　　条第　　款第　　项之规定，属于工伤认定范围，现予以认定（或视同）为工伤。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如对本工伤认定决定不服的，可自接到本决定书之日起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日内向　　　　申请行政复议，或者六个月内向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4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4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（工伤认定专用章）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4" w:lineRule="exact"/>
        <w:ind w:firstLine="600" w:firstLineChars="200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4" w:lineRule="exact"/>
        <w:ind w:firstLine="56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（注：本决定书一式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份，社会保险行政部门、</w:t>
      </w:r>
      <w:r>
        <w:rPr>
          <w:rFonts w:hint="eastAsia" w:ascii="Times New Roman" w:hAnsi="Times New Roman" w:eastAsia="仿宋_GB2312" w:cs="宋体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Times New Roman" w:hAnsi="Times New Roman" w:eastAsia="仿宋_GB2312" w:cs="宋体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伤害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职工或者其近亲属、用人单位各留存一份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并抄送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劳动能力鉴定机构、社会保险经办机构。）</w:t>
      </w:r>
    </w:p>
    <w:p>
      <w:pPr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不予认定工伤决定书</w:t>
      </w:r>
    </w:p>
    <w:p>
      <w:pPr>
        <w:spacing w:line="600" w:lineRule="exact"/>
        <w:jc w:val="righ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工伤不予认定〔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widowControl/>
        <w:spacing w:line="504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受伤害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职工姓名：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用人单位：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法定代表人：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工种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工作岗位：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我局于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月　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日受理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的工伤认定申请后，根据提交的材料调查核实情况如下：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同志受到的伤害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，不符合《工伤保险条例》第十四条、第十五条认定工伤或者视同工伤的情形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或者根据《工伤保险条例》第十六条第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项之规定，属于不得认定或者视同工伤的情形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现决定不予认定或者视同工伤。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如对本工伤认定结论不服的，可自接到本决定书之日起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日内向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申请行政复议，或者六个月内向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72" w:lineRule="exact"/>
        <w:jc w:val="right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（工伤认定专用章）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ind w:firstLine="5100" w:firstLineChars="17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ind w:firstLine="5100" w:firstLineChars="17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72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（注：本决定书一式三份，社会保险行政部门、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伤害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职工或者其近亲属、用人单位各留存一份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并抄送劳动能力鉴定机构、社会保险经办机构。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>
      <w:pPr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工伤认定中止通知书</w:t>
      </w:r>
    </w:p>
    <w:p>
      <w:pPr>
        <w:spacing w:line="600" w:lineRule="exact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righ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工伤中止〔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（申请人）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ind w:firstLine="645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你（单位）于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日向我局提交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的工伤认定申请，我局已于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日依法受理。因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，根据《工伤保险条例》第二十条之规定，从即日起工伤认定予以中止，待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中止情形消失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后重新启动工伤认定程序。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中止工伤认定的时间不计入工伤认定时限。</w:t>
      </w:r>
    </w:p>
    <w:p>
      <w:pPr>
        <w:ind w:firstLine="645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请你（单位）自收到有关部门作出的结论之日起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个工作日内向我局提交有关结论文书。</w:t>
      </w: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5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（盖章）</w:t>
      </w:r>
    </w:p>
    <w:p>
      <w:pPr>
        <w:ind w:firstLine="4818" w:firstLineChars="1606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 月   日</w:t>
      </w:r>
    </w:p>
    <w:p>
      <w:pP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工伤认定恢复通知书</w:t>
      </w:r>
    </w:p>
    <w:p>
      <w:pPr>
        <w:spacing w:line="600" w:lineRule="exact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righ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工伤恢复〔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（申请人）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你（单位）于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日向我局提交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的工伤认定申请，我局已于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日依法受理。因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ind w:firstLine="645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工伤认定于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年  月  日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起中止。</w:t>
      </w:r>
    </w:p>
    <w:p>
      <w:pPr>
        <w:ind w:firstLine="600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中止情形消失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，我局决定从即日起恢复对（受伤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害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职工）的工伤认定程序。</w:t>
      </w:r>
    </w:p>
    <w:p>
      <w:pPr>
        <w:ind w:firstLine="600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Times New Roman" w:hAnsi="Times New Roman" w:eastAsia="宋体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（盖章）</w:t>
      </w:r>
    </w:p>
    <w:p>
      <w:pP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504" w:lineRule="exact"/>
        <w:ind w:firstLine="600" w:firstLineChars="200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04" w:lineRule="exact"/>
        <w:ind w:firstLine="600" w:firstLineChars="200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04" w:lineRule="exact"/>
        <w:ind w:firstLine="600" w:firstLineChars="200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工伤认定终止通知书</w:t>
      </w:r>
    </w:p>
    <w:p>
      <w:pPr>
        <w:spacing w:line="600" w:lineRule="exact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工伤终止〔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80" w:lineRule="exact"/>
        <w:ind w:firstLine="600"/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申请人：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受伤害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职工姓名：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身份证号码：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用人单位：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职业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工种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工作岗位：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事故时间：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事故地点：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诊断时间：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受伤害部位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职业病名称：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　受伤害经过、医疗救治的基本情况和诊断结论：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申请人于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日向我局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的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工伤认定申请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日依法受理。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40"/>
        <w:textAlignment w:val="auto"/>
        <w:rPr>
          <w:rFonts w:hint="eastAsia" w:ascii="Times New Roman" w:hAnsi="Times New Roman" w:eastAsia="仿宋_GB2312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因</w:t>
      </w:r>
      <w:r>
        <w:rPr>
          <w:rFonts w:ascii="Times New Roman" w:hAnsi="Times New Roman" w:eastAsia="仿宋_GB2312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经研究，依据《工伤保险条例》和《湖北省工伤保险实施办法》的规定，本次工伤认定予以终止。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40"/>
        <w:textAlignment w:val="auto"/>
        <w:rPr>
          <w:rFonts w:ascii="Times New Roman" w:hAnsi="Times New Roman" w:eastAsia="仿宋_GB2312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40"/>
        <w:jc w:val="center"/>
        <w:textAlignment w:val="auto"/>
        <w:rPr>
          <w:rFonts w:hint="eastAsia" w:ascii="Times New Roman" w:hAnsi="Times New Roman" w:eastAsia="仿宋_GB2312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Times New Roman" w:hAnsi="Times New Roman" w:eastAsia="仿宋_GB2312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4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（注：本决定书一式三份，社会保险行政部门、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Times New Roman" w:hAnsi="Times New Roman" w:eastAsia="仿宋_GB2312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伤害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职工或者其近亲属、用人单位各留存一份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并抄送社会保险经办机构。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（不予）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认定工伤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决定书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更正通知</w:t>
      </w:r>
    </w:p>
    <w:p>
      <w:pPr>
        <w:spacing w:line="600" w:lineRule="exact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工伤更正〔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napToGrid w:val="0"/>
        <w:spacing w:line="520" w:lineRule="exac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20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申请人：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ab/>
      </w:r>
    </w:p>
    <w:p>
      <w:pPr>
        <w:snapToGrid w:val="0"/>
        <w:spacing w:line="520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受伤人：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性别：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身份证号码：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ab/>
      </w:r>
    </w:p>
    <w:p>
      <w:pPr>
        <w:snapToGrid w:val="0"/>
        <w:spacing w:line="520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工种或岗位：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家庭住址：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p>
      <w:pPr>
        <w:snapToGrid w:val="0"/>
        <w:spacing w:line="520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用人单位：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ab/>
      </w:r>
    </w:p>
    <w:p>
      <w:pPr>
        <w:snapToGrid w:val="0"/>
        <w:spacing w:line="520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单位地址：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p>
      <w:pPr>
        <w:snapToGrid w:val="0"/>
        <w:spacing w:line="520" w:lineRule="exact"/>
        <w:ind w:firstLine="591" w:firstLineChars="197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00" w:firstLineChars="200"/>
        <w:jc w:val="both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申请人于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日向我局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的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工伤认定申请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日依法受理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作出了《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认定工伤决定书》（文书编号）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因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，现将《认定或不予认定工伤决定书》中“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”更正为：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napToGrid w:val="0"/>
        <w:spacing w:line="520" w:lineRule="exact"/>
        <w:ind w:firstLine="0" w:firstLineChars="0"/>
        <w:jc w:val="left"/>
        <w:rPr>
          <w:rFonts w:ascii="Times New Roman" w:hAnsi="Times New Roman"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snapToGrid w:val="0"/>
        <w:spacing w:line="520" w:lineRule="exact"/>
        <w:ind w:firstLine="0" w:firstLineChars="0"/>
        <w:rPr>
          <w:rFonts w:hint="eastAsia" w:ascii="Times New Roman" w:hAnsi="Times New Roman" w:eastAsia="仿宋_GB2312"/>
          <w:color w:val="000000" w:themeColor="text1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Times New Roman" w:hAnsi="Times New Roman"/>
          <w:color w:val="000000" w:themeColor="text1"/>
          <w:szCs w:val="30"/>
          <w:lang w:eastAsia="zh-CN"/>
          <w14:textFill>
            <w14:solidFill>
              <w14:schemeClr w14:val="tx1"/>
            </w14:solidFill>
          </w14:textFill>
        </w:rPr>
        <w:t>（盖章）</w:t>
      </w:r>
    </w:p>
    <w:p>
      <w:pPr>
        <w:wordWrap w:val="0"/>
        <w:snapToGrid w:val="0"/>
        <w:spacing w:line="520" w:lineRule="exact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（注：本通知一式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份，社会保险行政部门、</w:t>
      </w:r>
      <w:r>
        <w:rPr>
          <w:rFonts w:hint="eastAsia" w:ascii="Times New Roman" w:hAnsi="Times New Roman" w:eastAsia="仿宋_GB2312" w:cs="宋体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Times New Roman" w:hAnsi="Times New Roman" w:eastAsia="仿宋_GB2312" w:cs="宋体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伤害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职工或者其近亲属、用人单位各留存一份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并抄送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劳动能力鉴定机构、社会保险经办机构。）</w:t>
      </w:r>
    </w:p>
    <w:p>
      <w:pPr>
        <w:jc w:val="left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撤销工伤认定决定书</w:t>
      </w:r>
    </w:p>
    <w:p>
      <w:pPr>
        <w:spacing w:line="600" w:lineRule="exact"/>
        <w:jc w:val="right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工伤撤销〔年号〕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*****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484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受伤人：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号码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484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岗位或工种：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家庭住址：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484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用人单位：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484" w:lineRule="exac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单位地址：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6"/>
        <w:textAlignment w:val="auto"/>
        <w:outlineLvl w:val="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申请人于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日向我局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的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工伤认定申请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日依法受理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作出了《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认定工伤决定书》（文书编号），并按照规定程序将决定书送达给受伤人及用人单位。因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不符合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/符合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《工伤保险条例》第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条规定的认定工伤情形，我局决定：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撤销我局于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日作出《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认定工伤决定书》（文书编号）。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4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如对本决定不服，可自接到本决定书之日起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日内向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4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申请行政复议，或者六个月内向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人民法院提起行政诉讼。</w:t>
      </w:r>
    </w:p>
    <w:p>
      <w:pPr>
        <w:spacing w:line="484" w:lineRule="exact"/>
        <w:ind w:firstLine="636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84" w:lineRule="exact"/>
        <w:ind w:firstLine="5100" w:firstLineChars="170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（盖章）</w:t>
      </w:r>
    </w:p>
    <w:p>
      <w:pPr>
        <w:spacing w:line="484" w:lineRule="exact"/>
        <w:ind w:firstLine="5100" w:firstLineChars="1700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484" w:lineRule="exact"/>
        <w:ind w:firstLine="5100" w:firstLineChars="1700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（注：本决定书一式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份，社会保险行政部门、</w:t>
      </w:r>
      <w:r>
        <w:rPr>
          <w:rFonts w:hint="eastAsia" w:ascii="Times New Roman" w:hAnsi="Times New Roman" w:eastAsia="仿宋_GB2312" w:cs="宋体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Times New Roman" w:hAnsi="Times New Roman" w:eastAsia="仿宋_GB2312" w:cs="宋体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伤害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职工或者其近亲属、用人单位各留存一份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并抄送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劳动能力鉴定机构、社会保险经办机构。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×××人力资源和社会保障局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5" w:afterLines="50" w:line="60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送</w:t>
      </w:r>
      <w:r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达</w:t>
      </w:r>
      <w:r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回</w:t>
      </w:r>
      <w:r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证</w:t>
      </w:r>
    </w:p>
    <w:tbl>
      <w:tblPr>
        <w:tblStyle w:val="5"/>
        <w:tblW w:w="8475" w:type="dxa"/>
        <w:tblInd w:w="1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60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241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案由</w:t>
            </w:r>
          </w:p>
        </w:tc>
        <w:tc>
          <w:tcPr>
            <w:tcW w:w="6056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9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送达文书名称</w:t>
            </w:r>
          </w:p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及编号</w:t>
            </w:r>
          </w:p>
        </w:tc>
        <w:tc>
          <w:tcPr>
            <w:tcW w:w="6056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2419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受送达人</w:t>
            </w:r>
          </w:p>
        </w:tc>
        <w:tc>
          <w:tcPr>
            <w:tcW w:w="6056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9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送达方式</w:t>
            </w:r>
          </w:p>
        </w:tc>
        <w:tc>
          <w:tcPr>
            <w:tcW w:w="6056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9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送达地址</w:t>
            </w:r>
          </w:p>
        </w:tc>
        <w:tc>
          <w:tcPr>
            <w:tcW w:w="6056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9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送达人员</w:t>
            </w:r>
          </w:p>
        </w:tc>
        <w:tc>
          <w:tcPr>
            <w:tcW w:w="6056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2419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受送达人签名</w:t>
            </w:r>
          </w:p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或盖章</w:t>
            </w:r>
          </w:p>
        </w:tc>
        <w:tc>
          <w:tcPr>
            <w:tcW w:w="6056" w:type="dxa"/>
            <w:vAlign w:val="center"/>
          </w:tcPr>
          <w:p>
            <w:pPr>
              <w:spacing w:line="400" w:lineRule="exact"/>
              <w:ind w:right="28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right="28" w:firstLine="3300" w:firstLineChars="1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9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代收人及</w:t>
            </w:r>
          </w:p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代收理由</w:t>
            </w:r>
          </w:p>
        </w:tc>
        <w:tc>
          <w:tcPr>
            <w:tcW w:w="6056" w:type="dxa"/>
            <w:vAlign w:val="center"/>
          </w:tcPr>
          <w:p>
            <w:pPr>
              <w:spacing w:line="400" w:lineRule="exact"/>
              <w:ind w:right="28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理由：</w:t>
            </w:r>
          </w:p>
          <w:p>
            <w:pPr>
              <w:spacing w:line="400" w:lineRule="exact"/>
              <w:ind w:right="28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right="28" w:firstLine="3600" w:firstLineChars="1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9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6" w:type="dxa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260" w:hanging="1260" w:hangingChars="450"/>
        <w:textAlignment w:val="auto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送达文书应直接送交受送达人。本人不在时，交他的同住成年亲属签收，并在备注栏写明代收人与当事人的关系。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174" w:leftChars="399" w:hanging="336" w:hangingChars="120"/>
        <w:textAlignment w:val="auto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受送达人拒收文书时，送达人应邀请有关单位或其他人到场，说明情况，在回证上记明拒收事由，由送达人、见证人签名或盖章。送达人把文书留在受送达人的住处即视为送达。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258" w:leftChars="399" w:hanging="420" w:hangingChars="15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154" w:right="1701" w:bottom="1814" w:left="1701" w:header="851" w:footer="1417" w:gutter="0"/>
          <w:pgNumType w:fmt="decimal"/>
          <w:cols w:space="0" w:num="1"/>
          <w:rtlGutter w:val="0"/>
          <w:docGrid w:type="lines" w:linePitch="585" w:charSpace="0"/>
        </w:sect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直接送达有困难的，可委托送达或邮寄送达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受送达人下落不明或者上述方式无法送达的，可公告送达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spacing w:val="-11"/>
          <w:kern w:val="0"/>
          <w:sz w:val="24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2154" w:right="1701" w:bottom="1814" w:left="1701" w:header="851" w:footer="1417" w:gutter="0"/>
      <w:pgNumType w:fmt="decimal"/>
      <w:cols w:space="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9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16356"/>
    <w:rsid w:val="00082992"/>
    <w:rsid w:val="00173D0D"/>
    <w:rsid w:val="003431AE"/>
    <w:rsid w:val="00526493"/>
    <w:rsid w:val="00604EDD"/>
    <w:rsid w:val="00697602"/>
    <w:rsid w:val="006C6E33"/>
    <w:rsid w:val="00717CBC"/>
    <w:rsid w:val="00830FA5"/>
    <w:rsid w:val="00974126"/>
    <w:rsid w:val="00D264DD"/>
    <w:rsid w:val="00DE37C6"/>
    <w:rsid w:val="00F85946"/>
    <w:rsid w:val="00FB3233"/>
    <w:rsid w:val="025D150C"/>
    <w:rsid w:val="03214EB8"/>
    <w:rsid w:val="03313C28"/>
    <w:rsid w:val="0534314D"/>
    <w:rsid w:val="055C4547"/>
    <w:rsid w:val="068869F7"/>
    <w:rsid w:val="07355680"/>
    <w:rsid w:val="076548C2"/>
    <w:rsid w:val="0A3D456A"/>
    <w:rsid w:val="0A726B50"/>
    <w:rsid w:val="103D3E86"/>
    <w:rsid w:val="1109322F"/>
    <w:rsid w:val="12B75362"/>
    <w:rsid w:val="13FC4753"/>
    <w:rsid w:val="15FC5F61"/>
    <w:rsid w:val="16825677"/>
    <w:rsid w:val="17392462"/>
    <w:rsid w:val="186B10FD"/>
    <w:rsid w:val="19256233"/>
    <w:rsid w:val="19FB1346"/>
    <w:rsid w:val="1A381AB6"/>
    <w:rsid w:val="1AE171B6"/>
    <w:rsid w:val="1BFE23FB"/>
    <w:rsid w:val="1C6E08C3"/>
    <w:rsid w:val="1D68502F"/>
    <w:rsid w:val="1FC53F36"/>
    <w:rsid w:val="221B1AB5"/>
    <w:rsid w:val="22640190"/>
    <w:rsid w:val="23F931F0"/>
    <w:rsid w:val="26B41067"/>
    <w:rsid w:val="27172454"/>
    <w:rsid w:val="29371C5C"/>
    <w:rsid w:val="2D1F1C4B"/>
    <w:rsid w:val="2D324F6F"/>
    <w:rsid w:val="2EE606AC"/>
    <w:rsid w:val="321A3776"/>
    <w:rsid w:val="34094C4F"/>
    <w:rsid w:val="35AA3AAD"/>
    <w:rsid w:val="35E8235C"/>
    <w:rsid w:val="377F2355"/>
    <w:rsid w:val="37F72CCF"/>
    <w:rsid w:val="38326145"/>
    <w:rsid w:val="38375741"/>
    <w:rsid w:val="38423BAB"/>
    <w:rsid w:val="385C43E1"/>
    <w:rsid w:val="38C54964"/>
    <w:rsid w:val="393F148E"/>
    <w:rsid w:val="39CC11B3"/>
    <w:rsid w:val="3B5B40C7"/>
    <w:rsid w:val="3B90227C"/>
    <w:rsid w:val="3BB55968"/>
    <w:rsid w:val="3C0142D8"/>
    <w:rsid w:val="3CB86F64"/>
    <w:rsid w:val="3CDD6295"/>
    <w:rsid w:val="40204B56"/>
    <w:rsid w:val="40E2456D"/>
    <w:rsid w:val="418B0720"/>
    <w:rsid w:val="42D85500"/>
    <w:rsid w:val="441667AE"/>
    <w:rsid w:val="44342A83"/>
    <w:rsid w:val="44D278B7"/>
    <w:rsid w:val="44F204E4"/>
    <w:rsid w:val="45307335"/>
    <w:rsid w:val="46D169E5"/>
    <w:rsid w:val="47352F3A"/>
    <w:rsid w:val="4A3D5FD1"/>
    <w:rsid w:val="4A4F492E"/>
    <w:rsid w:val="4B116356"/>
    <w:rsid w:val="4D5605F2"/>
    <w:rsid w:val="4D9E4C65"/>
    <w:rsid w:val="4F0926B7"/>
    <w:rsid w:val="4FB479C6"/>
    <w:rsid w:val="52680276"/>
    <w:rsid w:val="52E4223E"/>
    <w:rsid w:val="532F304E"/>
    <w:rsid w:val="543C77D6"/>
    <w:rsid w:val="54B402BF"/>
    <w:rsid w:val="5541366F"/>
    <w:rsid w:val="55C66AE9"/>
    <w:rsid w:val="568E7569"/>
    <w:rsid w:val="58FA6DBB"/>
    <w:rsid w:val="59374D13"/>
    <w:rsid w:val="59964140"/>
    <w:rsid w:val="5A8016C4"/>
    <w:rsid w:val="5AC0383F"/>
    <w:rsid w:val="5B8D481E"/>
    <w:rsid w:val="5B9478CD"/>
    <w:rsid w:val="5C857A82"/>
    <w:rsid w:val="5D3745DA"/>
    <w:rsid w:val="5EE55F13"/>
    <w:rsid w:val="606963F1"/>
    <w:rsid w:val="61BB1D8D"/>
    <w:rsid w:val="61E324B5"/>
    <w:rsid w:val="64514A26"/>
    <w:rsid w:val="656A23FD"/>
    <w:rsid w:val="658C4760"/>
    <w:rsid w:val="66B66449"/>
    <w:rsid w:val="679B5060"/>
    <w:rsid w:val="67EB7190"/>
    <w:rsid w:val="6AA43FA1"/>
    <w:rsid w:val="6B524C43"/>
    <w:rsid w:val="6B795A3C"/>
    <w:rsid w:val="6C63503B"/>
    <w:rsid w:val="6C9F26B5"/>
    <w:rsid w:val="6CD61421"/>
    <w:rsid w:val="6DE95B19"/>
    <w:rsid w:val="6EC35982"/>
    <w:rsid w:val="6F8B3327"/>
    <w:rsid w:val="6FA92BA3"/>
    <w:rsid w:val="71466BA0"/>
    <w:rsid w:val="720E3633"/>
    <w:rsid w:val="72BC5EFE"/>
    <w:rsid w:val="72E916F0"/>
    <w:rsid w:val="730F5FC8"/>
    <w:rsid w:val="74592449"/>
    <w:rsid w:val="74770BC2"/>
    <w:rsid w:val="7575131F"/>
    <w:rsid w:val="76F758B3"/>
    <w:rsid w:val="77361728"/>
    <w:rsid w:val="78CF61D6"/>
    <w:rsid w:val="794C3F95"/>
    <w:rsid w:val="7AA74BAF"/>
    <w:rsid w:val="7B3652D8"/>
    <w:rsid w:val="7E9C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2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36</Pages>
  <Words>11506</Words>
  <Characters>11651</Characters>
  <Lines>19</Lines>
  <Paragraphs>5</Paragraphs>
  <TotalTime>8</TotalTime>
  <ScaleCrop>false</ScaleCrop>
  <LinksUpToDate>false</LinksUpToDate>
  <CharactersWithSpaces>14254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2021-11-22T08:04:00Z</dcterms:created>
  <dc:creator>pc</dc:creator>
  <cp:lastModifiedBy>金洪港</cp:lastModifiedBy>
  <cp:lastPrinted>2021-12-03T07:59:00Z</cp:lastPrinted>
  <dcterms:modified xsi:type="dcterms:W3CDTF">2021-12-10T10:48:52Z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BB7CB5689C0944BD940B8E5B54E5E550</vt:lpwstr>
  </property>
</Properties>
</file>