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ascii="黑体" w:hAnsi="黑体" w:eastAsia="黑体" w:cs="黑体"/>
          <w:color w:val="000000"/>
          <w:szCs w:val="32"/>
        </w:rPr>
      </w:pPr>
      <w:r>
        <w:rPr>
          <w:rFonts w:hint="eastAsia" w:ascii="黑体" w:hAnsi="黑体" w:eastAsia="黑体" w:cs="黑体"/>
          <w:color w:val="000000"/>
          <w:szCs w:val="32"/>
        </w:rPr>
        <w:t>附件1</w:t>
      </w:r>
    </w:p>
    <w:p>
      <w:pPr>
        <w:spacing w:line="440" w:lineRule="exact"/>
        <w:jc w:val="left"/>
        <w:rPr>
          <w:rFonts w:ascii="黑体" w:hAnsi="黑体" w:eastAsia="黑体" w:cs="黑体"/>
          <w:color w:val="000000"/>
          <w:szCs w:val="32"/>
        </w:rPr>
      </w:pPr>
    </w:p>
    <w:p>
      <w:pPr>
        <w:spacing w:line="440" w:lineRule="exact"/>
        <w:jc w:val="center"/>
        <w:rPr>
          <w:rFonts w:ascii="宋体" w:hAnsi="宋体" w:cs="宋体"/>
          <w:b/>
          <w:bCs/>
          <w:color w:val="000000"/>
          <w:sz w:val="36"/>
          <w:szCs w:val="36"/>
        </w:rPr>
      </w:pPr>
      <w:bookmarkStart w:id="0" w:name="_GoBack"/>
      <w:r>
        <w:rPr>
          <w:rFonts w:hint="eastAsia" w:ascii="宋体" w:hAnsi="宋体" w:cs="宋体"/>
          <w:b/>
          <w:bCs/>
          <w:color w:val="000000"/>
          <w:sz w:val="36"/>
          <w:szCs w:val="36"/>
        </w:rPr>
        <w:t>青岛市基本医疗保险门诊统筹医疗服务协议</w:t>
      </w:r>
    </w:p>
    <w:bookmarkEnd w:id="0"/>
    <w:p>
      <w:pPr>
        <w:spacing w:line="440" w:lineRule="exact"/>
        <w:jc w:val="center"/>
        <w:rPr>
          <w:rFonts w:ascii="宋体" w:hAnsi="宋体" w:cs="宋体"/>
          <w:b/>
          <w:bCs/>
          <w:color w:val="000000"/>
          <w:sz w:val="36"/>
          <w:szCs w:val="36"/>
        </w:rPr>
      </w:pPr>
    </w:p>
    <w:p>
      <w:pPr>
        <w:spacing w:line="520" w:lineRule="exact"/>
        <w:rPr>
          <w:rFonts w:ascii="仿宋" w:hAnsi="仿宋" w:eastAsia="仿宋"/>
          <w:color w:val="000000"/>
          <w:sz w:val="28"/>
          <w:szCs w:val="30"/>
        </w:rPr>
      </w:pPr>
      <w:r>
        <w:rPr>
          <w:rFonts w:hint="eastAsia" w:ascii="仿宋" w:hAnsi="仿宋" w:eastAsia="仿宋"/>
          <w:color w:val="000000"/>
          <w:sz w:val="28"/>
          <w:szCs w:val="30"/>
        </w:rPr>
        <w:t>甲方：</w:t>
      </w:r>
      <w:r>
        <w:rPr>
          <w:rFonts w:hint="eastAsia" w:ascii="仿宋" w:hAnsi="仿宋" w:eastAsia="仿宋"/>
          <w:color w:val="000000"/>
          <w:sz w:val="28"/>
          <w:szCs w:val="30"/>
          <w:u w:val="single"/>
        </w:rPr>
        <w:t xml:space="preserve">（机构名称）                                             </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联系电话：</w:t>
      </w:r>
    </w:p>
    <w:p>
      <w:pPr>
        <w:spacing w:line="520" w:lineRule="exact"/>
        <w:rPr>
          <w:rFonts w:ascii="仿宋" w:hAnsi="仿宋" w:eastAsia="仿宋"/>
          <w:color w:val="000000"/>
          <w:sz w:val="28"/>
          <w:szCs w:val="30"/>
        </w:rPr>
      </w:pPr>
      <w:r>
        <w:rPr>
          <w:rFonts w:hint="eastAsia" w:ascii="仿宋" w:hAnsi="仿宋" w:eastAsia="仿宋"/>
          <w:color w:val="000000"/>
          <w:sz w:val="28"/>
          <w:szCs w:val="30"/>
        </w:rPr>
        <w:t>乙方：参保人姓名： 身份证号:</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 xml:space="preserve">参保类别： </w:t>
      </w:r>
      <w:r>
        <w:rPr>
          <w:rFonts w:ascii="仿宋" w:hAnsi="仿宋" w:eastAsia="仿宋"/>
          <w:color w:val="000000"/>
          <w:sz w:val="28"/>
          <w:szCs w:val="30"/>
        </w:rPr>
        <w:drawing>
          <wp:inline distT="0" distB="0" distL="114300" distR="114300">
            <wp:extent cx="142875" cy="142875"/>
            <wp:effectExtent l="0" t="0" r="9525"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142875" cy="142875"/>
                    </a:xfrm>
                    <a:prstGeom prst="rect">
                      <a:avLst/>
                    </a:prstGeom>
                    <a:noFill/>
                    <a:ln>
                      <a:noFill/>
                    </a:ln>
                  </pic:spPr>
                </pic:pic>
              </a:graphicData>
            </a:graphic>
          </wp:inline>
        </w:drawing>
      </w:r>
      <w:r>
        <w:rPr>
          <w:rFonts w:hint="eastAsia" w:ascii="仿宋" w:hAnsi="仿宋" w:eastAsia="仿宋"/>
          <w:color w:val="000000"/>
          <w:sz w:val="28"/>
          <w:szCs w:val="30"/>
        </w:rPr>
        <w:t xml:space="preserve">在职职工   </w:t>
      </w:r>
      <w:r>
        <w:rPr>
          <w:rFonts w:ascii="仿宋" w:hAnsi="仿宋" w:eastAsia="仿宋"/>
          <w:color w:val="000000"/>
          <w:sz w:val="28"/>
          <w:szCs w:val="30"/>
        </w:rPr>
        <w:drawing>
          <wp:inline distT="0" distB="0" distL="114300" distR="114300">
            <wp:extent cx="142875" cy="142875"/>
            <wp:effectExtent l="0" t="0" r="9525"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
                    <a:stretch>
                      <a:fillRect/>
                    </a:stretch>
                  </pic:blipFill>
                  <pic:spPr>
                    <a:xfrm>
                      <a:off x="0" y="0"/>
                      <a:ext cx="142875" cy="142875"/>
                    </a:xfrm>
                    <a:prstGeom prst="rect">
                      <a:avLst/>
                    </a:prstGeom>
                    <a:noFill/>
                    <a:ln>
                      <a:noFill/>
                    </a:ln>
                  </pic:spPr>
                </pic:pic>
              </a:graphicData>
            </a:graphic>
          </wp:inline>
        </w:drawing>
      </w:r>
      <w:r>
        <w:rPr>
          <w:rFonts w:hint="eastAsia" w:ascii="仿宋" w:hAnsi="仿宋" w:eastAsia="仿宋"/>
          <w:color w:val="000000"/>
          <w:sz w:val="28"/>
          <w:szCs w:val="30"/>
        </w:rPr>
        <w:t>退休职工</w:t>
      </w:r>
    </w:p>
    <w:p>
      <w:pPr>
        <w:spacing w:line="520" w:lineRule="exact"/>
        <w:ind w:firstLine="2100" w:firstLineChars="750"/>
        <w:rPr>
          <w:rFonts w:ascii="仿宋" w:hAnsi="仿宋" w:eastAsia="仿宋"/>
          <w:color w:val="000000"/>
          <w:sz w:val="28"/>
          <w:szCs w:val="30"/>
        </w:rPr>
      </w:pPr>
      <w:r>
        <w:rPr>
          <w:rFonts w:ascii="仿宋" w:hAnsi="仿宋" w:eastAsia="仿宋"/>
          <w:color w:val="000000"/>
          <w:sz w:val="28"/>
          <w:szCs w:val="30"/>
        </w:rPr>
        <w:drawing>
          <wp:inline distT="0" distB="0" distL="114300" distR="114300">
            <wp:extent cx="142875" cy="142875"/>
            <wp:effectExtent l="0" t="0" r="9525" b="952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preferRelativeResize="0">
                      <a:picLocks noChangeAspect="1"/>
                    </pic:cNvPicPr>
                  </pic:nvPicPr>
                  <pic:blipFill>
                    <a:blip r:embed="rId5"/>
                    <a:stretch>
                      <a:fillRect/>
                    </a:stretch>
                  </pic:blipFill>
                  <pic:spPr>
                    <a:xfrm>
                      <a:off x="0" y="0"/>
                      <a:ext cx="142875" cy="142875"/>
                    </a:xfrm>
                    <a:prstGeom prst="rect">
                      <a:avLst/>
                    </a:prstGeom>
                    <a:noFill/>
                    <a:ln>
                      <a:noFill/>
                    </a:ln>
                  </pic:spPr>
                </pic:pic>
              </a:graphicData>
            </a:graphic>
          </wp:inline>
        </w:drawing>
      </w:r>
      <w:r>
        <w:rPr>
          <w:rFonts w:hint="eastAsia" w:ascii="仿宋" w:hAnsi="仿宋" w:eastAsia="仿宋"/>
          <w:color w:val="000000"/>
          <w:sz w:val="28"/>
          <w:szCs w:val="30"/>
        </w:rPr>
        <w:t xml:space="preserve">一档缴费成年居民 </w:t>
      </w:r>
      <w:r>
        <w:rPr>
          <w:rFonts w:ascii="仿宋" w:hAnsi="仿宋" w:eastAsia="仿宋"/>
          <w:color w:val="000000"/>
          <w:sz w:val="28"/>
          <w:szCs w:val="30"/>
        </w:rPr>
        <w:drawing>
          <wp:inline distT="0" distB="0" distL="114300" distR="114300">
            <wp:extent cx="142875" cy="142875"/>
            <wp:effectExtent l="0" t="0" r="9525" b="952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4"/>
                    <a:stretch>
                      <a:fillRect/>
                    </a:stretch>
                  </pic:blipFill>
                  <pic:spPr>
                    <a:xfrm>
                      <a:off x="0" y="0"/>
                      <a:ext cx="142875" cy="142875"/>
                    </a:xfrm>
                    <a:prstGeom prst="rect">
                      <a:avLst/>
                    </a:prstGeom>
                    <a:noFill/>
                    <a:ln>
                      <a:noFill/>
                    </a:ln>
                  </pic:spPr>
                </pic:pic>
              </a:graphicData>
            </a:graphic>
          </wp:inline>
        </w:drawing>
      </w:r>
      <w:r>
        <w:rPr>
          <w:rFonts w:hint="eastAsia" w:ascii="仿宋" w:hAnsi="仿宋" w:eastAsia="仿宋"/>
          <w:color w:val="000000"/>
          <w:sz w:val="28"/>
          <w:szCs w:val="30"/>
        </w:rPr>
        <w:t xml:space="preserve">二档缴费成年居民 </w:t>
      </w:r>
      <w:r>
        <w:rPr>
          <w:rFonts w:ascii="仿宋" w:hAnsi="仿宋" w:eastAsia="仿宋"/>
          <w:color w:val="000000"/>
          <w:sz w:val="28"/>
          <w:szCs w:val="30"/>
        </w:rPr>
        <w:drawing>
          <wp:inline distT="0" distB="0" distL="114300" distR="114300">
            <wp:extent cx="142875" cy="142875"/>
            <wp:effectExtent l="0" t="0" r="9525" b="952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4"/>
                    <a:stretch>
                      <a:fillRect/>
                    </a:stretch>
                  </pic:blipFill>
                  <pic:spPr>
                    <a:xfrm>
                      <a:off x="0" y="0"/>
                      <a:ext cx="142875" cy="142875"/>
                    </a:xfrm>
                    <a:prstGeom prst="rect">
                      <a:avLst/>
                    </a:prstGeom>
                    <a:noFill/>
                    <a:ln>
                      <a:noFill/>
                    </a:ln>
                  </pic:spPr>
                </pic:pic>
              </a:graphicData>
            </a:graphic>
          </wp:inline>
        </w:drawing>
      </w:r>
      <w:r>
        <w:rPr>
          <w:rFonts w:hint="eastAsia" w:ascii="仿宋" w:hAnsi="仿宋" w:eastAsia="仿宋"/>
          <w:color w:val="000000"/>
          <w:sz w:val="28"/>
          <w:szCs w:val="30"/>
        </w:rPr>
        <w:t>少年儿童</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联系电话：</w:t>
      </w:r>
    </w:p>
    <w:p>
      <w:pPr>
        <w:spacing w:line="520" w:lineRule="exact"/>
        <w:ind w:firstLine="560" w:firstLineChars="200"/>
        <w:rPr>
          <w:rFonts w:ascii="仿宋" w:hAnsi="仿宋" w:eastAsia="仿宋"/>
          <w:color w:val="000000"/>
          <w:sz w:val="28"/>
          <w:szCs w:val="30"/>
          <w:u w:val="single"/>
        </w:rPr>
      </w:pPr>
      <w:r>
        <w:rPr>
          <w:rFonts w:hint="eastAsia" w:ascii="仿宋" w:hAnsi="仿宋" w:eastAsia="仿宋"/>
          <w:color w:val="000000"/>
          <w:sz w:val="28"/>
          <w:szCs w:val="30"/>
        </w:rPr>
        <w:t>家庭住址：</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第一条 为提高参保人基本医疗保障和健康水平，根据《青岛市社会医疗保险办法》（青岛市人民政府令第235号）及《青岛市人民政府办公厅关于完善职工基本医疗保险门诊共济保障机制的实施意见》（青政办发〔</w:t>
      </w:r>
      <w:r>
        <w:rPr>
          <w:rFonts w:ascii="仿宋" w:hAnsi="仿宋" w:eastAsia="仿宋"/>
          <w:color w:val="000000"/>
          <w:sz w:val="28"/>
          <w:szCs w:val="30"/>
        </w:rPr>
        <w:t>2022</w:t>
      </w:r>
      <w:r>
        <w:rPr>
          <w:rFonts w:hint="eastAsia" w:ascii="仿宋" w:hAnsi="仿宋" w:eastAsia="仿宋"/>
          <w:color w:val="000000"/>
          <w:sz w:val="28"/>
          <w:szCs w:val="30"/>
        </w:rPr>
        <w:t>〕</w:t>
      </w:r>
      <w:r>
        <w:rPr>
          <w:rFonts w:ascii="仿宋" w:hAnsi="仿宋" w:eastAsia="仿宋"/>
          <w:color w:val="000000"/>
          <w:sz w:val="28"/>
          <w:szCs w:val="30"/>
        </w:rPr>
        <w:t>4</w:t>
      </w:r>
      <w:r>
        <w:rPr>
          <w:rFonts w:hint="eastAsia" w:ascii="仿宋" w:hAnsi="仿宋" w:eastAsia="仿宋"/>
          <w:color w:val="000000"/>
          <w:sz w:val="28"/>
          <w:szCs w:val="30"/>
        </w:rPr>
        <w:t>号）有关规定，甲乙双方自愿签订本协议。</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第二条 甲方应通过教育和采取切实管理措施保证本机构医保医师遵守职业道德，坚持因病施治、合理检查、合理治疗、</w:t>
      </w:r>
      <w:r>
        <w:rPr>
          <w:rFonts w:ascii="仿宋" w:hAnsi="仿宋" w:eastAsia="仿宋"/>
          <w:color w:val="000000"/>
          <w:sz w:val="28"/>
          <w:szCs w:val="30"/>
        </w:rPr>
        <w:t>合理用药</w:t>
      </w:r>
      <w:r>
        <w:rPr>
          <w:rFonts w:hint="eastAsia" w:ascii="仿宋" w:hAnsi="仿宋" w:eastAsia="仿宋"/>
          <w:color w:val="000000"/>
          <w:sz w:val="28"/>
          <w:szCs w:val="30"/>
        </w:rPr>
        <w:t>。</w:t>
      </w:r>
      <w:r>
        <w:rPr>
          <w:rFonts w:ascii="仿宋" w:hAnsi="仿宋" w:eastAsia="仿宋"/>
          <w:color w:val="000000"/>
          <w:sz w:val="28"/>
        </w:rPr>
        <w:t>甲方医保医师应根据乙方病情给予及时转诊。</w:t>
      </w:r>
      <w:r>
        <w:rPr>
          <w:rFonts w:hint="eastAsia" w:ascii="仿宋" w:hAnsi="仿宋" w:eastAsia="仿宋"/>
          <w:color w:val="000000"/>
          <w:sz w:val="28"/>
          <w:szCs w:val="30"/>
        </w:rPr>
        <w:t>甲方不得违反青岛市门诊统筹政策规定，不得另行对乙方设定年度或月度报销限额，或将门诊统筹</w:t>
      </w:r>
      <w:r>
        <w:rPr>
          <w:rFonts w:ascii="仿宋" w:hAnsi="仿宋" w:eastAsia="仿宋"/>
          <w:color w:val="000000"/>
          <w:sz w:val="28"/>
          <w:szCs w:val="30"/>
        </w:rPr>
        <w:t>指标</w:t>
      </w:r>
      <w:r>
        <w:rPr>
          <w:rFonts w:hint="eastAsia" w:ascii="仿宋" w:hAnsi="仿宋" w:eastAsia="仿宋"/>
          <w:color w:val="000000"/>
          <w:sz w:val="28"/>
          <w:szCs w:val="30"/>
        </w:rPr>
        <w:t>分解到个人，也不得开大处方，不得诱导消费，不得过度治疗。</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第三条 乙方属正常享受医疗保险统筹待遇的参保人，自签约之日起享受门诊统筹待遇。乙方住院治疗、享受长期护理保险待遇（同时享受无限额门诊慢特病待遇的除外）期间不得同时享受门诊统筹待遇。</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第四条乙方应服从诊疗方案，不得强行索要药品或诊疗项目。签约基层医疗机构的职工参保人不得</w:t>
      </w:r>
      <w:r>
        <w:rPr>
          <w:rFonts w:ascii="仿宋" w:hAnsi="仿宋" w:eastAsia="仿宋"/>
          <w:color w:val="000000"/>
          <w:sz w:val="28"/>
          <w:szCs w:val="30"/>
        </w:rPr>
        <w:t>无故要求</w:t>
      </w:r>
      <w:r>
        <w:rPr>
          <w:rFonts w:hint="eastAsia" w:ascii="仿宋" w:hAnsi="仿宋" w:eastAsia="仿宋"/>
          <w:color w:val="000000"/>
          <w:sz w:val="28"/>
          <w:szCs w:val="30"/>
        </w:rPr>
        <w:t>转诊,对乙方不合理要求，甲方医务人员有权拒绝，未经转诊的医疗费用不予报销（</w:t>
      </w:r>
      <w:r>
        <w:rPr>
          <w:rFonts w:ascii="仿宋" w:hAnsi="仿宋" w:eastAsia="仿宋"/>
          <w:color w:val="000000"/>
          <w:sz w:val="28"/>
          <w:szCs w:val="30"/>
        </w:rPr>
        <w:t>急诊、抢救除外</w:t>
      </w:r>
      <w:r>
        <w:rPr>
          <w:rFonts w:hint="eastAsia" w:ascii="仿宋" w:hAnsi="仿宋" w:eastAsia="仿宋"/>
          <w:color w:val="000000"/>
          <w:sz w:val="28"/>
          <w:szCs w:val="30"/>
        </w:rPr>
        <w:t xml:space="preserve">）。 </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第五条乙方在甲方就诊时</w:t>
      </w:r>
      <w:r>
        <w:rPr>
          <w:rFonts w:ascii="仿宋" w:hAnsi="仿宋" w:eastAsia="仿宋"/>
          <w:color w:val="000000"/>
          <w:sz w:val="28"/>
          <w:szCs w:val="30"/>
        </w:rPr>
        <w:t>实行</w:t>
      </w:r>
      <w:r>
        <w:rPr>
          <w:rFonts w:hint="eastAsia" w:ascii="仿宋" w:hAnsi="仿宋" w:eastAsia="仿宋"/>
          <w:color w:val="000000"/>
          <w:sz w:val="28"/>
          <w:szCs w:val="30"/>
        </w:rPr>
        <w:t>即时联网结算。就诊结束后，甲方将医疗费明细即时录入结算系统，乙方只缴纳个人自负部分。</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第六条 本协议自签约之日起生效。参保人一个年度内可变更一次签约机构，变更前应与</w:t>
      </w:r>
      <w:r>
        <w:rPr>
          <w:rFonts w:ascii="仿宋" w:hAnsi="仿宋" w:eastAsia="仿宋"/>
          <w:color w:val="000000"/>
          <w:sz w:val="28"/>
          <w:szCs w:val="30"/>
        </w:rPr>
        <w:t>原</w:t>
      </w:r>
      <w:r>
        <w:rPr>
          <w:rFonts w:hint="eastAsia" w:ascii="仿宋" w:hAnsi="仿宋" w:eastAsia="仿宋"/>
          <w:color w:val="000000"/>
          <w:sz w:val="28"/>
          <w:szCs w:val="30"/>
        </w:rPr>
        <w:t>签约</w:t>
      </w:r>
      <w:r>
        <w:rPr>
          <w:rFonts w:ascii="仿宋" w:hAnsi="仿宋" w:eastAsia="仿宋"/>
          <w:color w:val="000000"/>
          <w:sz w:val="28"/>
          <w:szCs w:val="30"/>
        </w:rPr>
        <w:t>定点医疗机构</w:t>
      </w:r>
      <w:r>
        <w:rPr>
          <w:rFonts w:hint="eastAsia" w:ascii="仿宋" w:hAnsi="仿宋" w:eastAsia="仿宋"/>
          <w:color w:val="000000"/>
          <w:sz w:val="28"/>
          <w:szCs w:val="30"/>
        </w:rPr>
        <w:t>结清费用</w:t>
      </w:r>
      <w:r>
        <w:rPr>
          <w:rFonts w:ascii="仿宋" w:hAnsi="仿宋" w:eastAsia="仿宋"/>
          <w:color w:val="000000"/>
          <w:sz w:val="28"/>
          <w:szCs w:val="30"/>
        </w:rPr>
        <w:t>。</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第七条参保人年度内确需与签约机构解约的，自解约后不享受门诊统筹待遇。</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第八条 本协议执行期间，甲乙双方均应自觉遵守医保门诊统筹相关待遇标准和管理要求。</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第九条 本协议一式两份，甲乙双方各执一份，具有同等效力。</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第十条 本协议执行期间，甲乙双方均有权利对履行协议情况进行监督。若甲方被取消基本医疗保险门诊统筹定点资格，本协议自行解除。甲方应及时通知乙方选择其他定点医疗</w:t>
      </w:r>
      <w:r>
        <w:rPr>
          <w:rFonts w:ascii="仿宋" w:hAnsi="仿宋" w:eastAsia="仿宋"/>
          <w:color w:val="000000"/>
          <w:sz w:val="28"/>
          <w:szCs w:val="30"/>
        </w:rPr>
        <w:t>机构</w:t>
      </w:r>
      <w:r>
        <w:rPr>
          <w:rFonts w:hint="eastAsia" w:ascii="仿宋" w:hAnsi="仿宋" w:eastAsia="仿宋"/>
          <w:color w:val="000000"/>
          <w:sz w:val="28"/>
          <w:szCs w:val="30"/>
        </w:rPr>
        <w:t>。</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第十一条 本协议执行期间，国家、省、市有关法律法规政策有调整的，依据调整后的相关规定执行。</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第十二条 其他约定</w:t>
      </w:r>
    </w:p>
    <w:p>
      <w:pPr>
        <w:spacing w:line="520" w:lineRule="exact"/>
        <w:ind w:firstLine="560" w:firstLineChars="200"/>
        <w:rPr>
          <w:rFonts w:ascii="仿宋" w:hAnsi="仿宋" w:eastAsia="仿宋"/>
          <w:color w:val="000000"/>
          <w:sz w:val="28"/>
          <w:szCs w:val="30"/>
        </w:rPr>
      </w:pPr>
    </w:p>
    <w:p>
      <w:pPr>
        <w:spacing w:line="520" w:lineRule="exact"/>
        <w:ind w:firstLine="560" w:firstLineChars="200"/>
        <w:jc w:val="left"/>
        <w:rPr>
          <w:rFonts w:ascii="仿宋" w:hAnsi="仿宋" w:eastAsia="仿宋"/>
          <w:color w:val="000000"/>
          <w:sz w:val="28"/>
          <w:szCs w:val="30"/>
        </w:rPr>
      </w:pPr>
      <w:r>
        <w:rPr>
          <w:rFonts w:hint="eastAsia" w:ascii="仿宋" w:hAnsi="仿宋" w:eastAsia="仿宋"/>
          <w:color w:val="000000"/>
          <w:sz w:val="28"/>
          <w:szCs w:val="30"/>
        </w:rPr>
        <w:t>甲方：                            乙方：</w:t>
      </w:r>
    </w:p>
    <w:p>
      <w:pPr>
        <w:spacing w:line="520" w:lineRule="exact"/>
        <w:ind w:firstLine="280" w:firstLineChars="100"/>
        <w:jc w:val="left"/>
        <w:rPr>
          <w:rFonts w:ascii="仿宋" w:hAnsi="仿宋" w:eastAsia="仿宋"/>
          <w:color w:val="000000"/>
          <w:sz w:val="28"/>
          <w:szCs w:val="30"/>
        </w:rPr>
      </w:pPr>
      <w:r>
        <w:rPr>
          <w:rFonts w:hint="eastAsia" w:ascii="仿宋" w:hAnsi="仿宋" w:eastAsia="仿宋"/>
          <w:color w:val="000000"/>
          <w:sz w:val="28"/>
          <w:szCs w:val="30"/>
        </w:rPr>
        <w:t>（公章）                            参保人（签字）</w:t>
      </w:r>
    </w:p>
    <w:p>
      <w:pPr>
        <w:spacing w:line="520" w:lineRule="exact"/>
        <w:ind w:firstLine="5320" w:firstLineChars="1900"/>
        <w:jc w:val="left"/>
        <w:rPr>
          <w:rFonts w:ascii="仿宋" w:hAnsi="仿宋" w:eastAsia="仿宋"/>
          <w:color w:val="000000"/>
          <w:sz w:val="28"/>
          <w:szCs w:val="30"/>
        </w:rPr>
      </w:pPr>
      <w:r>
        <w:rPr>
          <w:rFonts w:hint="eastAsia" w:ascii="仿宋" w:hAnsi="仿宋" w:eastAsia="仿宋"/>
          <w:color w:val="000000"/>
          <w:sz w:val="28"/>
          <w:szCs w:val="30"/>
        </w:rPr>
        <w:t>监护人（签字）</w:t>
      </w:r>
    </w:p>
    <w:p>
      <w:pPr>
        <w:spacing w:line="520" w:lineRule="exact"/>
        <w:ind w:firstLine="1120" w:firstLineChars="400"/>
        <w:jc w:val="left"/>
        <w:rPr>
          <w:rFonts w:ascii="仿宋" w:hAnsi="仿宋" w:eastAsia="仿宋"/>
          <w:color w:val="000000"/>
          <w:sz w:val="28"/>
          <w:szCs w:val="30"/>
        </w:rPr>
      </w:pPr>
      <w:r>
        <w:rPr>
          <w:rFonts w:hint="eastAsia" w:ascii="仿宋" w:hAnsi="仿宋" w:eastAsia="仿宋"/>
          <w:color w:val="000000"/>
          <w:sz w:val="28"/>
          <w:szCs w:val="30"/>
        </w:rPr>
        <w:t xml:space="preserve">年   月   日                            年 </w:t>
      </w:r>
      <w:r>
        <w:rPr>
          <w:rFonts w:hint="eastAsia" w:ascii="仿宋" w:hAnsi="仿宋" w:eastAsia="仿宋"/>
          <w:color w:val="000000"/>
          <w:sz w:val="28"/>
          <w:szCs w:val="30"/>
          <w:lang w:val="en-US" w:eastAsia="zh-CN"/>
        </w:rPr>
        <w:t xml:space="preserve"> </w:t>
      </w:r>
      <w:r>
        <w:rPr>
          <w:rFonts w:hint="eastAsia" w:ascii="仿宋" w:hAnsi="仿宋" w:eastAsia="仿宋"/>
          <w:color w:val="000000"/>
          <w:sz w:val="28"/>
          <w:szCs w:val="30"/>
        </w:rPr>
        <w:t>月   日</w:t>
      </w:r>
    </w:p>
    <w:p>
      <w:pPr>
        <w:spacing w:line="520" w:lineRule="exact"/>
        <w:jc w:val="left"/>
        <w:rPr>
          <w:rFonts w:ascii="仿宋" w:hAnsi="仿宋" w:eastAsia="仿宋"/>
          <w:color w:val="000000"/>
          <w:sz w:val="28"/>
          <w:szCs w:val="30"/>
          <w:u w:val="single"/>
        </w:rPr>
      </w:pPr>
    </w:p>
    <w:p>
      <w:pPr>
        <w:spacing w:line="520" w:lineRule="exact"/>
        <w:jc w:val="left"/>
        <w:rPr>
          <w:rFonts w:ascii="仿宋" w:hAnsi="仿宋" w:eastAsia="仿宋"/>
          <w:color w:val="000000"/>
          <w:sz w:val="28"/>
          <w:szCs w:val="30"/>
          <w:u w:val="single"/>
        </w:rPr>
      </w:pPr>
      <w:r>
        <w:rPr>
          <w:rFonts w:hint="eastAsia" w:ascii="仿宋" w:hAnsi="仿宋" w:eastAsia="仿宋"/>
          <w:color w:val="000000"/>
          <w:sz w:val="28"/>
          <w:szCs w:val="30"/>
          <w:u w:val="single"/>
        </w:rPr>
        <w:t>乙方申明：</w:t>
      </w:r>
    </w:p>
    <w:p>
      <w:pPr>
        <w:spacing w:line="520" w:lineRule="exact"/>
        <w:jc w:val="left"/>
        <w:rPr>
          <w:rFonts w:ascii="仿宋" w:hAnsi="仿宋" w:eastAsia="仿宋"/>
          <w:color w:val="000000"/>
          <w:sz w:val="28"/>
          <w:szCs w:val="30"/>
          <w:u w:val="single"/>
        </w:rPr>
      </w:pPr>
      <w:r>
        <w:rPr>
          <w:rFonts w:hint="eastAsia" w:ascii="仿宋" w:hAnsi="仿宋" w:eastAsia="仿宋"/>
          <w:color w:val="000000"/>
          <w:sz w:val="28"/>
          <w:szCs w:val="30"/>
          <w:u w:val="single"/>
        </w:rPr>
        <w:t>本人已认真阅读本协议，对协议内容均知晓且无异议，同意签订本协议。</w:t>
      </w:r>
    </w:p>
    <w:p>
      <w:pPr>
        <w:spacing w:line="520" w:lineRule="exact"/>
        <w:ind w:firstLine="5460" w:firstLineChars="1950"/>
        <w:jc w:val="left"/>
        <w:rPr>
          <w:rFonts w:ascii="仿宋" w:hAnsi="仿宋" w:eastAsia="仿宋"/>
          <w:color w:val="000000"/>
          <w:sz w:val="28"/>
          <w:szCs w:val="30"/>
          <w:u w:val="single"/>
        </w:rPr>
      </w:pPr>
      <w:r>
        <w:rPr>
          <w:rFonts w:hint="eastAsia" w:ascii="仿宋" w:hAnsi="仿宋" w:eastAsia="仿宋"/>
          <w:color w:val="000000"/>
          <w:sz w:val="28"/>
          <w:szCs w:val="30"/>
        </w:rPr>
        <w:t>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MjUyZWViY2EyMmVlZjliMmVmNmYzMGEzMWE5ODgifQ=="/>
  </w:docVars>
  <w:rsids>
    <w:rsidRoot w:val="65733580"/>
    <w:rsid w:val="65733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949</Words>
  <Characters>954</Characters>
  <Lines>0</Lines>
  <Paragraphs>0</Paragraphs>
  <TotalTime>1</TotalTime>
  <ScaleCrop>false</ScaleCrop>
  <LinksUpToDate>false</LinksUpToDate>
  <CharactersWithSpaces>1111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2023-01-12T02:55:00Z</dcterms:created>
  <dc:creator>taiping</dc:creator>
  <cp:lastModifiedBy>taiping</cp:lastModifiedBy>
  <dcterms:modified xsi:type="dcterms:W3CDTF">2023-01-12T02:57:08Z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9F7F02D6681C4CE4A7F5C35C2A7D0745</vt:lpwstr>
  </property>
</Properties>
</file>