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589" w:tblpY="429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0"/>
        <w:gridCol w:w="1771"/>
        <w:gridCol w:w="978"/>
        <w:gridCol w:w="981"/>
        <w:gridCol w:w="783"/>
        <w:gridCol w:w="278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535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bottom"/>
              <w:rPr>
                <w:rFonts w:ascii="黑体" w:hAnsi="黑体" w:eastAsia="黑体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color w:val="000000"/>
                <w:kern w:val="0"/>
                <w:sz w:val="28"/>
                <w:szCs w:val="28"/>
              </w:rPr>
              <w:t>附件3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_GBK" w:eastAsia="方正小标宋简体" w:cs="方正小标宋_GBK"/>
                <w:bCs/>
                <w:color w:val="000000"/>
                <w:kern w:val="0"/>
                <w:sz w:val="40"/>
                <w:szCs w:val="40"/>
              </w:rPr>
              <w:t>青岛市医疗保险异地医疗登记表(个人）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535" w:type="dxa"/>
            <w:gridSpan w:val="6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□异地安置      □异地长期居住       □常驻异地工作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24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49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78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□男 □女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7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登记类别</w:t>
            </w:r>
          </w:p>
        </w:tc>
        <w:tc>
          <w:tcPr>
            <w:tcW w:w="2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□新增                     □变更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联系电话1</w:t>
            </w:r>
          </w:p>
        </w:tc>
        <w:tc>
          <w:tcPr>
            <w:tcW w:w="1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联系电话2</w:t>
            </w:r>
          </w:p>
        </w:tc>
        <w:tc>
          <w:tcPr>
            <w:tcW w:w="35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转往省（市、区）</w:t>
            </w:r>
          </w:p>
        </w:tc>
        <w:tc>
          <w:tcPr>
            <w:tcW w:w="7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　　　省 　 　   　　 市  　     县（区）　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7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起于    年  月  日            止于    年  月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24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门诊大病定点医院</w:t>
            </w:r>
          </w:p>
        </w:tc>
        <w:tc>
          <w:tcPr>
            <w:tcW w:w="72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5" w:type="dxa"/>
            <w:gridSpan w:val="6"/>
            <w:tcBorders>
              <w:top w:val="single" w:color="000000" w:sz="4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温馨提示：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535" w:type="dxa"/>
            <w:gridSpan w:val="6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1、跨省异地就医执行就医地目录、参保地起付线封顶线及支付比例。因各地目录差异，直接结算与回参保地报销可能存在待遇差。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8535" w:type="dxa"/>
            <w:gridSpan w:val="6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2、　办理报备时直接报备到就医地市或省份。北京、天津、上海、重庆、海南、西藏和新疆兵团报备到省份。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535" w:type="dxa"/>
            <w:gridSpan w:val="6"/>
            <w:tcBorders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3、未按规定办理登记报备手续，或在就医地非定点医疗机构发生的医疗费用，按参保地现有规定办理。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0" w:hRule="atLeast"/>
        </w:trPr>
        <w:tc>
          <w:tcPr>
            <w:tcW w:w="8535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4、</w:t>
            </w:r>
            <w:r>
              <w:rPr>
                <w:rFonts w:hint="eastAsia" w:ascii="宋体" w:hAnsi="宋体" w:cs="宋体"/>
                <w:sz w:val="24"/>
              </w:rPr>
              <w:t>获取门诊大病资格的参保人，只能在异地或青岛市选择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一家</w:t>
            </w:r>
            <w:r>
              <w:rPr>
                <w:rFonts w:hint="eastAsia" w:ascii="宋体" w:hAnsi="宋体" w:cs="宋体"/>
                <w:sz w:val="24"/>
              </w:rPr>
              <w:t>医疗机构作为门诊大病定点机构，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异地门诊大病定点医疗机构应是全国联网定点医疗机构。</w:t>
            </w:r>
            <w:r>
              <w:rPr>
                <w:rFonts w:hint="eastAsia" w:ascii="宋体" w:hAnsi="宋体" w:cs="宋体"/>
                <w:bCs/>
                <w:sz w:val="24"/>
              </w:rPr>
              <w:t>2.</w:t>
            </w:r>
            <w:r>
              <w:rPr>
                <w:rFonts w:hint="eastAsia" w:ascii="宋体" w:hAnsi="宋体" w:cs="宋体"/>
                <w:sz w:val="24"/>
              </w:rPr>
              <w:t>选择定点在异地医疗机构的，在报备通过的同时，在青岛市的门诊大病定点信息即刻终止。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5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经办机构：            联系电话：                 经办日期：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35" w:type="dxa"/>
            <w:gridSpan w:val="6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注：本表一式二份，医保经办机构、个人（单位）各持一份，请注意保存。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F2D36"/>
    <w:rsid w:val="5A2F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2020-06-12T08:42:00Z</dcterms:created>
  <dc:creator>DELL</dc:creator>
  <cp:lastModifiedBy>DELL</cp:lastModifiedBy>
  <dcterms:modified xsi:type="dcterms:W3CDTF">2020-06-12T08:42:53Z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