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701" w:lineRule="exact"/>
        <w:ind w:firstLine="420"/>
        <w:jc w:val="center"/>
        <w:textAlignment w:val="auto"/>
        <w:outlineLvl w:val="9"/>
        <w:rPr>
          <w:rFonts w:hint="eastAsia" w:ascii="方正小标宋_GBK" w:eastAsia="方正小标宋_GBK" w:cs="方正小标宋_GBK"/>
          <w:color w:val="FF0000"/>
          <w:spacing w:val="40"/>
          <w:w w:val="39"/>
          <w:sz w:val="120"/>
          <w:szCs w:val="120"/>
        </w:rPr>
      </w:pPr>
    </w:p>
    <w:p>
      <w:pPr>
        <w:ind w:firstLine="420"/>
        <w:jc w:val="center"/>
        <w:rPr>
          <w:rFonts w:ascii="方正小标宋_GBK" w:eastAsia="方正小标宋_GBK"/>
          <w:color w:val="FF0000"/>
          <w:spacing w:val="40"/>
          <w:w w:val="39"/>
          <w:sz w:val="120"/>
          <w:szCs w:val="120"/>
        </w:rPr>
      </w:pPr>
      <w:r>
        <w:rPr>
          <w:rFonts w:hint="eastAsia" w:ascii="方正小标宋_GBK" w:eastAsia="方正小标宋_GBK" w:cs="方正小标宋_GBK"/>
          <w:color w:val="FF0000"/>
          <w:spacing w:val="40"/>
          <w:w w:val="39"/>
          <w:sz w:val="120"/>
          <w:szCs w:val="120"/>
        </w:rPr>
        <w:t>青岛市人力资源和社会保障局文件</w:t>
      </w:r>
    </w:p>
    <w:p>
      <w:pPr>
        <w:rPr>
          <w:rFonts w:ascii="仿宋_GB2312" w:hAnsi="宋体" w:eastAsia="仿宋_GB2312" w:cs="仿宋_GB2312"/>
          <w:sz w:val="32"/>
          <w:szCs w:val="32"/>
        </w:rPr>
      </w:pPr>
    </w:p>
    <w:p>
      <w:pPr>
        <w:ind w:firstLine="160" w:firstLineChars="50"/>
        <w:jc w:val="center"/>
        <w:rPr>
          <w:rFonts w:ascii="仿宋_GB2312" w:eastAsia="仿宋_GB2312" w:cs="仿宋_GB2312"/>
          <w:sz w:val="32"/>
          <w:szCs w:val="32"/>
        </w:rPr>
      </w:pPr>
      <w:r>
        <w:rPr>
          <w:rFonts w:hint="eastAsia" w:ascii="仿宋_GB2312" w:hAnsi="宋体" w:eastAsia="仿宋_GB2312" w:cs="仿宋_GB2312"/>
          <w:sz w:val="32"/>
          <w:szCs w:val="32"/>
        </w:rPr>
        <w:t>青人社字</w:t>
      </w:r>
      <w:r>
        <w:rPr>
          <w:rFonts w:hint="eastAsia" w:ascii="仿宋_GB2312" w:eastAsia="仿宋_GB2312" w:cs="仿宋_GB2312"/>
          <w:sz w:val="32"/>
          <w:szCs w:val="32"/>
        </w:rPr>
        <w:t>〔20</w:t>
      </w:r>
      <w:r>
        <w:rPr>
          <w:rFonts w:ascii="仿宋_GB2312" w:eastAsia="仿宋_GB2312" w:cs="仿宋_GB2312"/>
          <w:sz w:val="32"/>
          <w:szCs w:val="32"/>
        </w:rPr>
        <w:t>2</w:t>
      </w: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35</w:t>
      </w:r>
      <w:r>
        <w:rPr>
          <w:rFonts w:hint="eastAsia" w:ascii="仿宋_GB2312" w:eastAsia="仿宋_GB2312" w:cs="仿宋_GB2312"/>
          <w:sz w:val="32"/>
          <w:szCs w:val="32"/>
        </w:rPr>
        <w:t>号</w:t>
      </w:r>
    </w:p>
    <w:p>
      <w:pPr>
        <w:ind w:firstLine="105" w:firstLineChars="50"/>
        <w:jc w:val="center"/>
        <w:rPr>
          <w:rFonts w:ascii="方正小标宋_GBK" w:hAnsi="方正小标宋_GBK" w:eastAsia="方正小标宋_GBK" w:cs="方正小标宋_GBK"/>
          <w:sz w:val="44"/>
          <w:szCs w:val="44"/>
        </w:rPr>
      </w:pPr>
      <w:r>
        <w:rPr>
          <w:rFonts w:ascii="等线" w:hAnsi="等线" w:eastAsia="等线" w:cs="等线"/>
          <w:kern w:val="2"/>
          <w:sz w:val="21"/>
          <w:szCs w:val="21"/>
          <w:lang w:val="en-US" w:eastAsia="zh-CN" w:bidi="ar-SA"/>
        </w:rPr>
        <w:pict>
          <v:line id="Line 2" o:spid="_x0000_s1027" o:spt="20" style="position:absolute;left:0pt;margin-left:11.35pt;margin-top:12.2pt;height:0.05pt;width:444pt;z-index:251658240;mso-width-relative:page;mso-height-relative:page;" fillcolor="#FFFFFF" filled="f" o:preferrelative="t" stroked="t" coordsize="21600,21600">
            <v:path arrowok="t"/>
            <v:fill on="f" color2="#FFFFFF" focussize="0,0"/>
            <v:stroke color="#FF0000" color2="#FFFFFF" miterlimit="2"/>
            <v:imagedata gain="65536f" blacklevel="0f" gamma="0" o:title=""/>
            <o:lock v:ext="edit" position="f" selection="f" grouping="f" rotation="f" cropping="f" text="f" aspectratio="f"/>
          </v:line>
        </w:pict>
      </w:r>
    </w:p>
    <w:p>
      <w:pPr>
        <w:spacing w:line="600" w:lineRule="exact"/>
        <w:jc w:val="center"/>
        <w:rPr>
          <w:rFonts w:ascii="黑体" w:hAnsi="黑体" w:eastAsia="黑体"/>
          <w:sz w:val="44"/>
          <w:szCs w:val="44"/>
        </w:rPr>
      </w:pPr>
      <w:r>
        <w:rPr>
          <w:rFonts w:hint="eastAsia" w:ascii="方正小标宋_GBK" w:hAnsi="方正小标宋_GBK" w:eastAsia="方正小标宋_GBK" w:cs="方正小标宋_GBK"/>
          <w:sz w:val="44"/>
          <w:szCs w:val="44"/>
        </w:rPr>
        <w:t>关于印发《青岛市企业用工保障服务专项行动实施方案》的通知</w:t>
      </w:r>
    </w:p>
    <w:p>
      <w:pPr>
        <w:spacing w:line="560" w:lineRule="exact"/>
        <w:rPr>
          <w:rFonts w:ascii="仿宋_GB2312" w:hAnsi="仿宋_GB2312" w:eastAsia="仿宋_GB2312" w:cs="仿宋_GB2312"/>
          <w:b/>
          <w:bCs/>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各区（市）人力资源和社</w:t>
      </w:r>
      <w:bookmarkStart w:id="1" w:name="_GoBack"/>
      <w:bookmarkEnd w:id="1"/>
      <w:r>
        <w:rPr>
          <w:rFonts w:hint="eastAsia" w:ascii="仿宋_GB2312" w:hAnsi="仿宋_GB2312" w:eastAsia="仿宋_GB2312" w:cs="仿宋_GB2312"/>
          <w:sz w:val="32"/>
          <w:szCs w:val="32"/>
        </w:rPr>
        <w:t>会保障局：</w:t>
      </w:r>
    </w:p>
    <w:p>
      <w:pPr>
        <w:spacing w:line="560" w:lineRule="exact"/>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现将《青岛市企业用工保障服务专项行动实施方案》印发给你们，请结合本地实际，抓好贯彻落实，确保取得实效。各区（市）</w:t>
      </w:r>
    </w:p>
    <w:p>
      <w:pPr>
        <w:snapToGrid w:val="0"/>
        <w:spacing w:line="56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在推动工作中的典型做法和成效，请及时报告。</w:t>
      </w:r>
    </w:p>
    <w:p>
      <w:pPr>
        <w:snapToGrid w:val="0"/>
        <w:spacing w:line="560" w:lineRule="exact"/>
        <w:jc w:val="center"/>
        <w:outlineLvl w:val="0"/>
        <w:rPr>
          <w:rFonts w:ascii="方正小标宋_GBK" w:hAnsi="Times New Roman" w:eastAsia="方正小标宋_GBK" w:cs="Times New Roman"/>
          <w:sz w:val="44"/>
          <w:szCs w:val="44"/>
        </w:rPr>
      </w:pPr>
    </w:p>
    <w:p>
      <w:pPr>
        <w:snapToGrid w:val="0"/>
        <w:spacing w:line="560" w:lineRule="exact"/>
        <w:jc w:val="center"/>
        <w:outlineLvl w:val="0"/>
        <w:rPr>
          <w:rFonts w:ascii="方正小标宋_GBK" w:hAnsi="Times New Roman" w:eastAsia="方正小标宋_GBK" w:cs="Times New Roman"/>
          <w:sz w:val="44"/>
          <w:szCs w:val="44"/>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青岛市人力资源和社会保障局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2021年4月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（此件主动公开）</w:t>
      </w:r>
    </w:p>
    <w:p>
      <w:pPr>
        <w:snapToGrid w:val="0"/>
        <w:spacing w:line="560" w:lineRule="exact"/>
        <w:jc w:val="center"/>
        <w:outlineLvl w:val="0"/>
        <w:rPr>
          <w:rFonts w:hint="eastAsia" w:ascii="方正小标宋_GBK" w:hAnsi="Times New Roman" w:eastAsia="方正小标宋_GBK" w:cs="Times New Roman"/>
          <w:sz w:val="44"/>
          <w:szCs w:val="44"/>
        </w:rPr>
      </w:pPr>
    </w:p>
    <w:p>
      <w:pPr>
        <w:snapToGrid w:val="0"/>
        <w:spacing w:line="560" w:lineRule="exact"/>
        <w:jc w:val="center"/>
        <w:outlineLvl w:val="0"/>
        <w:rPr>
          <w:rFonts w:ascii="方正小标宋_GBK" w:hAnsi="华文中宋" w:eastAsia="方正小标宋_GBK" w:cs="Times New Roman"/>
          <w:sz w:val="44"/>
          <w:szCs w:val="44"/>
        </w:rPr>
      </w:pPr>
      <w:r>
        <w:rPr>
          <w:rFonts w:hint="eastAsia" w:ascii="方正小标宋_GBK" w:hAnsi="Times New Roman" w:eastAsia="方正小标宋_GBK" w:cs="Times New Roman"/>
          <w:sz w:val="44"/>
          <w:szCs w:val="44"/>
        </w:rPr>
        <w:t>青岛市企业</w:t>
      </w:r>
      <w:r>
        <w:rPr>
          <w:rFonts w:ascii="方正小标宋_GBK" w:hAnsi="Times New Roman" w:eastAsia="方正小标宋_GBK" w:cs="Times New Roman"/>
          <w:sz w:val="44"/>
          <w:szCs w:val="44"/>
        </w:rPr>
        <w:t>用工保障服务专项</w:t>
      </w:r>
      <w:r>
        <w:rPr>
          <w:rFonts w:hint="eastAsia" w:ascii="方正小标宋_GBK" w:hAnsi="Times New Roman" w:eastAsia="方正小标宋_GBK" w:cs="Times New Roman"/>
          <w:sz w:val="44"/>
          <w:szCs w:val="44"/>
        </w:rPr>
        <w:t>行动实施方案</w:t>
      </w:r>
    </w:p>
    <w:p>
      <w:pPr>
        <w:spacing w:line="560" w:lineRule="exact"/>
        <w:rPr>
          <w:rFonts w:ascii="仿宋_GB2312" w:hAnsi="Times New Roman" w:eastAsia="仿宋_GB2312" w:cs="Times New Roman"/>
          <w:sz w:val="32"/>
          <w:szCs w:val="32"/>
        </w:rPr>
      </w:pPr>
    </w:p>
    <w:p>
      <w:pPr>
        <w:spacing w:line="560" w:lineRule="exact"/>
        <w:rPr>
          <w:rFonts w:ascii="仿宋_GB2312" w:eastAsia="仿宋_GB2312"/>
          <w:sz w:val="32"/>
          <w:szCs w:val="32"/>
        </w:rPr>
      </w:pPr>
      <w:r>
        <w:rPr>
          <w:rFonts w:hint="eastAsia" w:ascii="仿宋_GB2312" w:hAnsi="Times New Roman" w:eastAsia="仿宋_GB2312" w:cs="Times New Roman"/>
          <w:sz w:val="32"/>
          <w:szCs w:val="32"/>
        </w:rPr>
        <w:t xml:space="preserve">   </w:t>
      </w:r>
      <w:r>
        <w:rPr>
          <w:rFonts w:hint="eastAsia" w:ascii="仿宋_GB2312" w:hAnsi="仿宋_GB2312" w:eastAsia="仿宋_GB2312" w:cs="仿宋_GB2312"/>
          <w:sz w:val="32"/>
          <w:szCs w:val="32"/>
        </w:rPr>
        <w:t xml:space="preserve"> 根据《</w:t>
      </w:r>
      <w:r>
        <w:rPr>
          <w:rFonts w:hint="eastAsia" w:ascii="仿宋_GB2312" w:hAnsi="仿宋_GB2312" w:eastAsia="仿宋_GB2312" w:cs="仿宋_GB2312"/>
          <w:color w:val="000000"/>
          <w:sz w:val="32"/>
          <w:szCs w:val="32"/>
        </w:rPr>
        <w:t>山东省人力资源和社会保障厅关于印发&lt;全省人力资源社会保障系统企业用工保障服务专项行动实施方案&gt;的通知</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鲁人社字</w:t>
      </w:r>
      <w:r>
        <w:rPr>
          <w:rFonts w:hint="eastAsia" w:ascii="仿宋_GB2312" w:eastAsia="仿宋_GB2312" w:cs="仿宋_GB2312"/>
          <w:sz w:val="32"/>
          <w:szCs w:val="32"/>
        </w:rPr>
        <w:t>〔20</w:t>
      </w:r>
      <w:r>
        <w:rPr>
          <w:rFonts w:ascii="仿宋_GB2312" w:eastAsia="仿宋_GB2312" w:cs="仿宋_GB2312"/>
          <w:sz w:val="32"/>
          <w:szCs w:val="32"/>
        </w:rPr>
        <w:t>2</w:t>
      </w:r>
      <w:r>
        <w:rPr>
          <w:rFonts w:hint="eastAsia" w:ascii="仿宋_GB2312" w:eastAsia="仿宋_GB2312" w:cs="仿宋_GB2312"/>
          <w:sz w:val="32"/>
          <w:szCs w:val="32"/>
        </w:rPr>
        <w:t>1〕</w:t>
      </w:r>
      <w:r>
        <w:rPr>
          <w:rFonts w:hint="eastAsia" w:ascii="仿宋_GB2312" w:hAnsi="仿宋_GB2312" w:eastAsia="仿宋_GB2312" w:cs="仿宋_GB2312"/>
          <w:color w:val="000000"/>
          <w:sz w:val="32"/>
          <w:szCs w:val="32"/>
        </w:rPr>
        <w:t>46号</w:t>
      </w:r>
      <w:r>
        <w:rPr>
          <w:rFonts w:hint="eastAsia" w:ascii="仿宋_GB2312" w:hAnsi="仿宋_GB2312" w:eastAsia="仿宋_GB2312" w:cs="仿宋_GB2312"/>
          <w:sz w:val="32"/>
          <w:szCs w:val="32"/>
        </w:rPr>
        <w:t>）要求，为</w:t>
      </w:r>
      <w:r>
        <w:rPr>
          <w:rFonts w:hint="eastAsia" w:ascii="仿宋_GB2312" w:hAnsi="Times New Roman" w:eastAsia="仿宋_GB2312" w:cs="Times New Roman"/>
          <w:sz w:val="32"/>
          <w:szCs w:val="32"/>
        </w:rPr>
        <w:t>进一步做实做细企业用工保障服务工作，及时了解摸清企业缺工情况</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提供高效</w:t>
      </w:r>
      <w:r>
        <w:rPr>
          <w:rFonts w:ascii="仿宋_GB2312" w:hAnsi="Times New Roman" w:eastAsia="仿宋_GB2312" w:cs="Times New Roman"/>
          <w:sz w:val="32"/>
          <w:szCs w:val="32"/>
        </w:rPr>
        <w:t>、优质的公共就业服务</w:t>
      </w:r>
      <w:r>
        <w:rPr>
          <w:rFonts w:hint="eastAsia" w:ascii="仿宋_GB2312" w:hAnsi="Times New Roman" w:eastAsia="仿宋_GB2312" w:cs="Times New Roman"/>
          <w:sz w:val="32"/>
          <w:szCs w:val="32"/>
        </w:rPr>
        <w:t>，保持就业形势总体稳定，现决定在全市开展企业用工保障服务专项行动，</w:t>
      </w:r>
      <w:r>
        <w:rPr>
          <w:rFonts w:ascii="仿宋_GB2312" w:hAnsi="Times New Roman" w:eastAsia="仿宋_GB2312" w:cs="Times New Roman"/>
          <w:sz w:val="32"/>
          <w:szCs w:val="32"/>
        </w:rPr>
        <w:t>制定</w:t>
      </w:r>
      <w:r>
        <w:rPr>
          <w:rFonts w:hint="eastAsia" w:ascii="仿宋_GB2312" w:hAnsi="Times New Roman" w:eastAsia="仿宋_GB2312" w:cs="Times New Roman"/>
          <w:sz w:val="32"/>
          <w:szCs w:val="32"/>
        </w:rPr>
        <w:t>如下</w:t>
      </w:r>
      <w:r>
        <w:rPr>
          <w:rFonts w:ascii="仿宋_GB2312" w:hAnsi="Times New Roman" w:eastAsia="仿宋_GB2312" w:cs="Times New Roman"/>
          <w:sz w:val="32"/>
          <w:szCs w:val="32"/>
        </w:rPr>
        <w:t>实施方案</w:t>
      </w:r>
      <w:r>
        <w:rPr>
          <w:rFonts w:hint="eastAsia" w:ascii="仿宋_GB2312" w:hAnsi="Times New Roman" w:eastAsia="仿宋_GB2312" w:cs="Times New Roman"/>
          <w:sz w:val="32"/>
          <w:szCs w:val="32"/>
        </w:rPr>
        <w:t>：</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w:t>
      </w:r>
      <w:r>
        <w:rPr>
          <w:rFonts w:ascii="黑体" w:hAnsi="黑体" w:eastAsia="黑体" w:cs="宋体"/>
          <w:sz w:val="32"/>
          <w:szCs w:val="32"/>
        </w:rPr>
        <w:t>、工作</w:t>
      </w:r>
      <w:r>
        <w:rPr>
          <w:rFonts w:hint="eastAsia" w:ascii="黑体" w:hAnsi="黑体" w:eastAsia="黑体" w:cs="宋体"/>
          <w:sz w:val="32"/>
          <w:szCs w:val="32"/>
        </w:rPr>
        <w:t>目标</w:t>
      </w:r>
    </w:p>
    <w:p>
      <w:pPr>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扎实做好稳就业工作、落实保居民就业任务，</w:t>
      </w:r>
      <w:r>
        <w:rPr>
          <w:rFonts w:hint="eastAsia" w:ascii="仿宋_GB2312" w:hAnsi="Times New Roman" w:eastAsia="仿宋_GB2312" w:cs="宋体"/>
          <w:sz w:val="32"/>
          <w:szCs w:val="32"/>
        </w:rPr>
        <w:t>以“十强”产业、“四上”企业、重点企业为重点，通过开展企业用工保障服务专项行动，缓解企业缺工问题，</w:t>
      </w:r>
      <w:r>
        <w:rPr>
          <w:rFonts w:hint="eastAsia" w:ascii="仿宋_GB2312" w:hAnsi="仿宋_GB2312" w:eastAsia="仿宋_GB2312" w:cs="仿宋_GB2312"/>
          <w:sz w:val="32"/>
          <w:szCs w:val="32"/>
        </w:rPr>
        <w:t>保持全市经济发展大局稳定。</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w:t>
      </w:r>
      <w:r>
        <w:rPr>
          <w:rFonts w:ascii="黑体" w:hAnsi="黑体" w:eastAsia="黑体" w:cs="宋体"/>
          <w:sz w:val="32"/>
          <w:szCs w:val="32"/>
        </w:rPr>
        <w:t>、</w:t>
      </w:r>
      <w:r>
        <w:rPr>
          <w:rFonts w:hint="eastAsia" w:ascii="黑体" w:hAnsi="黑体" w:eastAsia="黑体" w:cs="宋体"/>
          <w:sz w:val="32"/>
          <w:szCs w:val="32"/>
        </w:rPr>
        <w:t>重点</w:t>
      </w:r>
      <w:r>
        <w:rPr>
          <w:rFonts w:ascii="黑体" w:hAnsi="黑体" w:eastAsia="黑体" w:cs="宋体"/>
          <w:sz w:val="32"/>
          <w:szCs w:val="32"/>
        </w:rPr>
        <w:t>任务</w:t>
      </w:r>
    </w:p>
    <w:p>
      <w:pPr>
        <w:spacing w:line="560" w:lineRule="exact"/>
        <w:ind w:firstLine="640" w:firstLineChars="200"/>
        <w:jc w:val="left"/>
        <w:rPr>
          <w:rFonts w:ascii="楷体_GB2312" w:hAnsi="黑体" w:eastAsia="楷体_GB2312" w:cs="Times New Roman"/>
          <w:sz w:val="32"/>
          <w:szCs w:val="32"/>
        </w:rPr>
      </w:pPr>
      <w:r>
        <w:rPr>
          <w:rFonts w:hint="eastAsia" w:ascii="楷体_GB2312" w:hAnsi="黑体" w:eastAsia="楷体_GB2312" w:cs="Times New Roman"/>
          <w:sz w:val="32"/>
          <w:szCs w:val="32"/>
        </w:rPr>
        <w:t>（一）建立三项清单</w:t>
      </w:r>
    </w:p>
    <w:p>
      <w:pPr>
        <w:spacing w:line="560" w:lineRule="exact"/>
        <w:ind w:firstLine="642" w:firstLineChars="200"/>
        <w:jc w:val="left"/>
        <w:rPr>
          <w:rFonts w:ascii="仿宋_GB2312" w:hAnsi="仿宋_GB2312" w:eastAsia="仿宋_GB2312" w:cs="仿宋_GB2312"/>
          <w:sz w:val="32"/>
          <w:szCs w:val="32"/>
        </w:rPr>
      </w:pPr>
      <w:r>
        <w:rPr>
          <w:rFonts w:hint="eastAsia" w:ascii="仿宋_GB2312" w:hAnsi="Times New Roman" w:eastAsia="仿宋_GB2312" w:cs="宋体"/>
          <w:b/>
          <w:sz w:val="32"/>
          <w:szCs w:val="32"/>
        </w:rPr>
        <w:t>1.全面摸清企业用工需求。</w:t>
      </w:r>
      <w:r>
        <w:rPr>
          <w:rFonts w:hint="eastAsia" w:ascii="仿宋_GB2312" w:hAnsi="Times New Roman" w:eastAsia="仿宋_GB2312" w:cs="宋体"/>
          <w:sz w:val="32"/>
          <w:szCs w:val="32"/>
        </w:rPr>
        <w:t>市</w:t>
      </w:r>
      <w:r>
        <w:rPr>
          <w:rFonts w:hint="eastAsia" w:ascii="仿宋_GB2312" w:hAnsi="仿宋_GB2312" w:eastAsia="仿宋_GB2312" w:cs="仿宋_GB2312"/>
          <w:sz w:val="32"/>
          <w:szCs w:val="32"/>
        </w:rPr>
        <w:t>人力资源社会保障部门对接市发改委、统计局、工信局</w:t>
      </w:r>
      <w:r>
        <w:rPr>
          <w:rFonts w:hint="eastAsia" w:ascii="仿宋_GB2312" w:hAnsi="仿宋_GB2312" w:eastAsia="仿宋_GB2312" w:cs="仿宋_GB2312"/>
          <w:sz w:val="32"/>
          <w:szCs w:val="32"/>
          <w:lang w:eastAsia="zh-CN"/>
        </w:rPr>
        <w:t>、商务局、民营经济局</w:t>
      </w:r>
      <w:r>
        <w:rPr>
          <w:rFonts w:hint="eastAsia" w:ascii="仿宋_GB2312" w:hAnsi="仿宋_GB2312" w:eastAsia="仿宋_GB2312" w:cs="仿宋_GB2312"/>
          <w:sz w:val="32"/>
          <w:szCs w:val="32"/>
        </w:rPr>
        <w:t>等部门，汇集“四上”企业、重点企业、重大项目名单，形成用工保障服务专项行动企业服务名录。各级人力资源社会保障部门根据企业名录，</w:t>
      </w:r>
      <w:r>
        <w:rPr>
          <w:rFonts w:hint="eastAsia" w:ascii="仿宋_GB2312" w:hAnsi="仿宋_GB2312" w:eastAsia="仿宋_GB2312" w:cs="仿宋_GB2312"/>
          <w:snapToGrid w:val="0"/>
          <w:sz w:val="32"/>
          <w:szCs w:val="32"/>
        </w:rPr>
        <w:t>采取实地走访、电话联系、集中座谈等方式，</w:t>
      </w:r>
      <w:r>
        <w:rPr>
          <w:rFonts w:hint="eastAsia" w:ascii="仿宋_GB2312" w:hAnsi="仿宋_GB2312" w:eastAsia="仿宋_GB2312" w:cs="仿宋_GB2312"/>
          <w:sz w:val="32"/>
          <w:szCs w:val="32"/>
        </w:rPr>
        <w:t>掌握企业用工情况，组织企业通过</w:t>
      </w:r>
      <w:r>
        <w:rPr>
          <w:rFonts w:hint="eastAsia" w:ascii="仿宋_GB2312" w:eastAsia="仿宋_GB2312"/>
          <w:snapToGrid w:val="0"/>
          <w:sz w:val="32"/>
          <w:szCs w:val="32"/>
        </w:rPr>
        <w:t>青岛市企业急需紧缺用工对接平台填报缺工信息，或将岗位需求信息录入省</w:t>
      </w:r>
      <w:r>
        <w:rPr>
          <w:rFonts w:hint="eastAsia" w:ascii="仿宋_GB2312" w:hAnsi="仿宋_GB2312" w:eastAsia="仿宋_GB2312" w:cs="仿宋_GB2312"/>
          <w:sz w:val="32"/>
          <w:szCs w:val="32"/>
        </w:rPr>
        <w:t>公共就业人才信息系统</w:t>
      </w:r>
      <w:r>
        <w:rPr>
          <w:rFonts w:hint="eastAsia" w:ascii="仿宋_GB2312" w:eastAsia="仿宋_GB2312"/>
          <w:snapToGrid w:val="0"/>
          <w:sz w:val="32"/>
          <w:szCs w:val="32"/>
        </w:rPr>
        <w:t>，</w:t>
      </w:r>
      <w:r>
        <w:rPr>
          <w:rFonts w:hint="eastAsia" w:ascii="仿宋_GB2312" w:hAnsi="仿宋_GB2312" w:eastAsia="仿宋_GB2312" w:cs="仿宋_GB2312"/>
          <w:sz w:val="32"/>
          <w:szCs w:val="32"/>
        </w:rPr>
        <w:t>实行动态管理，采取措施做好就业服务。</w:t>
      </w:r>
    </w:p>
    <w:p>
      <w:pPr>
        <w:tabs>
          <w:tab w:val="center" w:pos="4534"/>
        </w:tabs>
        <w:spacing w:line="560" w:lineRule="exact"/>
        <w:rPr>
          <w:rFonts w:ascii="仿宋_GB2312" w:hAnsi="Times New Roman" w:eastAsia="仿宋_GB2312" w:cs="Times New Roman"/>
          <w:sz w:val="32"/>
          <w:szCs w:val="32"/>
        </w:rPr>
      </w:pPr>
      <w:r>
        <w:rPr>
          <w:rFonts w:hint="eastAsia" w:ascii="楷体_GB2312" w:hAnsi="楷体_GB2312" w:eastAsia="楷体_GB2312" w:cs="楷体_GB2312"/>
          <w:sz w:val="32"/>
          <w:szCs w:val="32"/>
        </w:rPr>
        <w:t xml:space="preserve">    </w:t>
      </w:r>
      <w:r>
        <w:rPr>
          <w:rFonts w:hint="eastAsia" w:ascii="仿宋_GB2312" w:hAnsi="Times New Roman" w:eastAsia="仿宋_GB2312" w:cs="宋体"/>
          <w:b/>
          <w:sz w:val="32"/>
          <w:szCs w:val="32"/>
        </w:rPr>
        <w:t>2.强化人力资源数据归集。</w:t>
      </w:r>
      <w:r>
        <w:rPr>
          <w:rFonts w:hint="eastAsia" w:ascii="仿宋_GB2312" w:hAnsi="仿宋_GB2312" w:eastAsia="仿宋_GB2312" w:cs="仿宋_GB2312"/>
          <w:sz w:val="32"/>
          <w:szCs w:val="32"/>
        </w:rPr>
        <w:t>市人力资源社会保障部门</w:t>
      </w:r>
      <w:r>
        <w:rPr>
          <w:rFonts w:hint="eastAsia" w:ascii="仿宋_GB2312" w:hAnsi="仿宋_GB2312" w:eastAsia="仿宋_GB2312" w:cs="仿宋_GB2312"/>
          <w:snapToGrid w:val="0"/>
          <w:sz w:val="32"/>
          <w:szCs w:val="32"/>
        </w:rPr>
        <w:t>加强与高</w:t>
      </w:r>
      <w:r>
        <w:rPr>
          <w:rFonts w:hint="eastAsia" w:ascii="仿宋_GB2312" w:hAnsi="Calibri" w:eastAsia="仿宋_GB2312" w:cs="黑体"/>
          <w:snapToGrid w:val="0"/>
          <w:sz w:val="32"/>
          <w:szCs w:val="32"/>
        </w:rPr>
        <w:t>等院校、职业院校</w:t>
      </w:r>
      <w:r>
        <w:rPr>
          <w:rFonts w:hint="eastAsia" w:ascii="仿宋_GB2312" w:eastAsia="仿宋_GB2312" w:cs="黑体"/>
          <w:snapToGrid w:val="0"/>
          <w:sz w:val="32"/>
          <w:szCs w:val="32"/>
        </w:rPr>
        <w:t>对接</w:t>
      </w:r>
      <w:r>
        <w:rPr>
          <w:rFonts w:hint="eastAsia" w:ascii="仿宋_GB2312" w:hAnsi="Calibri" w:eastAsia="仿宋_GB2312" w:cs="黑体"/>
          <w:snapToGrid w:val="0"/>
          <w:sz w:val="32"/>
          <w:szCs w:val="32"/>
        </w:rPr>
        <w:t>，</w:t>
      </w:r>
      <w:r>
        <w:rPr>
          <w:rFonts w:hint="eastAsia" w:ascii="仿宋_GB2312" w:eastAsia="仿宋_GB2312" w:cs="黑体"/>
          <w:snapToGrid w:val="0"/>
          <w:sz w:val="32"/>
          <w:szCs w:val="32"/>
        </w:rPr>
        <w:t>对有就业意愿的劳动者纳入人力资源数据库。</w:t>
      </w:r>
      <w:r>
        <w:rPr>
          <w:rFonts w:hint="eastAsia" w:ascii="仿宋_GB2312" w:hAnsi="仿宋_GB2312" w:eastAsia="仿宋_GB2312" w:cs="仿宋_GB2312"/>
          <w:sz w:val="32"/>
          <w:szCs w:val="32"/>
        </w:rPr>
        <w:t>区（市）人力资源社会保障部门应充分运用市就业援助公共服务平台，及时掌握有就业需求的失业人员信息，</w:t>
      </w:r>
      <w:r>
        <w:rPr>
          <w:rFonts w:ascii="仿宋_GB2312" w:eastAsia="仿宋_GB2312"/>
          <w:snapToGrid w:val="0"/>
          <w:sz w:val="32"/>
          <w:szCs w:val="32"/>
        </w:rPr>
        <w:t>各级人力资源市场</w:t>
      </w:r>
      <w:r>
        <w:rPr>
          <w:rFonts w:hint="eastAsia" w:ascii="仿宋_GB2312" w:eastAsia="仿宋_GB2312"/>
          <w:snapToGrid w:val="0"/>
          <w:sz w:val="32"/>
          <w:szCs w:val="32"/>
        </w:rPr>
        <w:t>、公共就业人才服务机构要大力收集求职者信息，对参加现场招聘会的劳动者，要将其求职信息录入省公共就业人才信息系统，进一步丰富全市人力资源数据库，为开展</w:t>
      </w:r>
      <w:r>
        <w:rPr>
          <w:rFonts w:hint="eastAsia" w:ascii="仿宋_GB2312" w:hAnsi="仿宋_GB2312" w:eastAsia="仿宋_GB2312" w:cs="仿宋_GB2312"/>
          <w:snapToGrid w:val="0"/>
          <w:sz w:val="32"/>
          <w:szCs w:val="32"/>
        </w:rPr>
        <w:t>线上、线下精准匹配奠定基础。</w:t>
      </w:r>
    </w:p>
    <w:p>
      <w:pPr>
        <w:spacing w:line="560" w:lineRule="exact"/>
        <w:ind w:firstLine="642" w:firstLineChars="200"/>
        <w:jc w:val="left"/>
        <w:rPr>
          <w:rFonts w:ascii="仿宋_GB2312" w:hAnsi="仿宋" w:eastAsia="仿宋_GB2312"/>
          <w:kern w:val="0"/>
          <w:sz w:val="32"/>
          <w:szCs w:val="32"/>
        </w:rPr>
      </w:pPr>
      <w:r>
        <w:rPr>
          <w:rFonts w:hint="eastAsia" w:ascii="仿宋_GB2312" w:hAnsi="Times New Roman" w:eastAsia="仿宋_GB2312" w:cs="宋体"/>
          <w:b/>
          <w:sz w:val="32"/>
          <w:szCs w:val="32"/>
        </w:rPr>
        <w:t>3.发挥就业人才服务专员作用。</w:t>
      </w:r>
      <w:r>
        <w:rPr>
          <w:rFonts w:hint="eastAsia" w:ascii="仿宋_GB2312" w:hAnsi="仿宋" w:eastAsia="仿宋_GB2312" w:cs="仿宋_GB2312"/>
          <w:sz w:val="32"/>
          <w:szCs w:val="32"/>
        </w:rPr>
        <w:t>各区（市）</w:t>
      </w:r>
      <w:r>
        <w:rPr>
          <w:rFonts w:hint="eastAsia" w:ascii="仿宋_GB2312" w:hAnsi="仿宋_GB2312" w:eastAsia="仿宋_GB2312" w:cs="仿宋_GB2312"/>
          <w:sz w:val="32"/>
          <w:szCs w:val="32"/>
        </w:rPr>
        <w:t>人力资源社会保障部门</w:t>
      </w:r>
      <w:r>
        <w:rPr>
          <w:rFonts w:hint="eastAsia" w:ascii="仿宋_GB2312" w:hAnsi="仿宋" w:eastAsia="仿宋_GB2312" w:cs="仿宋_GB2312"/>
          <w:sz w:val="32"/>
          <w:szCs w:val="32"/>
        </w:rPr>
        <w:t>应根据辖区内服务企业数量，选择业务能力强的公共就业人才服务专员，</w:t>
      </w:r>
      <w:r>
        <w:rPr>
          <w:rFonts w:hint="eastAsia" w:ascii="仿宋_GB2312" w:hAnsi="仿宋" w:eastAsia="仿宋_GB2312"/>
          <w:kern w:val="0"/>
          <w:sz w:val="32"/>
          <w:szCs w:val="32"/>
        </w:rPr>
        <w:t>与企业建立“一对一”对口联系制度，主动为企业提供政策宣传、用工指导、</w:t>
      </w:r>
      <w:r>
        <w:rPr>
          <w:rFonts w:hint="eastAsia" w:ascii="仿宋_GB2312" w:eastAsia="仿宋_GB2312"/>
          <w:sz w:val="32"/>
          <w:szCs w:val="32"/>
        </w:rPr>
        <w:t>需求发布等服务，</w:t>
      </w:r>
      <w:r>
        <w:rPr>
          <w:rFonts w:hint="eastAsia" w:ascii="仿宋_GB2312" w:hAnsi="仿宋" w:eastAsia="仿宋_GB2312"/>
          <w:kern w:val="0"/>
          <w:sz w:val="32"/>
          <w:szCs w:val="32"/>
        </w:rPr>
        <w:t>企业有需求也可随时联系就业人才服务专员，由就业人才服务专员提供精准就业人才服务。</w:t>
      </w:r>
      <w:r>
        <w:rPr>
          <w:rFonts w:hint="eastAsia" w:ascii="仿宋_GB2312" w:hAnsi="仿宋" w:eastAsia="仿宋_GB2312" w:cs="Times New Roman"/>
          <w:sz w:val="32"/>
          <w:szCs w:val="32"/>
        </w:rPr>
        <w:t>市人力资源社会保障局将建立督导联络员制度，为每个区（市）安排1名处级干部作为督导联络员，协调解决区（市）在服务企业劳动用工中遇到的困难和问题。</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（二）开展专项活动</w:t>
      </w:r>
    </w:p>
    <w:p>
      <w:pPr>
        <w:spacing w:line="560" w:lineRule="exact"/>
        <w:ind w:firstLine="642" w:firstLineChars="200"/>
        <w:rPr>
          <w:rFonts w:ascii="仿宋_GB2312" w:hAnsi="宋体" w:eastAsia="仿宋_GB2312" w:cs="仿宋_GB2312"/>
          <w:sz w:val="32"/>
          <w:szCs w:val="32"/>
        </w:rPr>
      </w:pPr>
      <w:r>
        <w:rPr>
          <w:rFonts w:hint="eastAsia" w:ascii="仿宋_GB2312" w:hAnsi="Times New Roman" w:eastAsia="仿宋_GB2312" w:cs="宋体"/>
          <w:b/>
          <w:sz w:val="32"/>
          <w:szCs w:val="32"/>
        </w:rPr>
        <w:t>1.密集开展线上线下招聘活动。</w:t>
      </w:r>
      <w:r>
        <w:rPr>
          <w:rFonts w:hint="eastAsia" w:ascii="仿宋_GB2312" w:hAnsi="仿宋_GB2312" w:eastAsia="仿宋_GB2312" w:cs="仿宋_GB2312"/>
          <w:bCs/>
          <w:color w:val="auto"/>
          <w:sz w:val="32"/>
          <w:szCs w:val="32"/>
        </w:rPr>
        <w:t>开展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lang w:val="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年青岛市百日千万网络招聘专项行动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、民营</w:t>
      </w:r>
      <w:r>
        <w:rPr>
          <w:rFonts w:hint="eastAsia" w:ascii="仿宋_GB2312" w:hAnsi="仿宋_GB2312" w:eastAsia="仿宋_GB2312" w:cs="仿宋_GB2312"/>
          <w:bCs/>
          <w:sz w:val="32"/>
          <w:szCs w:val="32"/>
        </w:rPr>
        <w:t>企业招聘月活动。结合企业用工需求摸排，利用100天时间，分行业、分领域、分专业、分群体举办各类特色招聘专场。全市组织线上线下招聘活动300场，其中组织民营企业招聘专场100场。</w:t>
      </w:r>
      <w:r>
        <w:rPr>
          <w:rFonts w:hint="eastAsia" w:ascii="仿宋_GB2312" w:hAnsi="Calibri" w:eastAsia="仿宋_GB2312" w:cs="仿宋_GB2312"/>
          <w:snapToGrid w:val="0"/>
          <w:sz w:val="32"/>
          <w:szCs w:val="32"/>
        </w:rPr>
        <w:t>依托中国海洋人才市场（山东）、青岛人才网，举办“青岛市</w:t>
      </w:r>
      <w:r>
        <w:rPr>
          <w:rFonts w:hint="eastAsia" w:ascii="仿宋_GB2312" w:hAnsi="Calibri" w:eastAsia="仿宋_GB2312" w:cs="仿宋_GB2312"/>
          <w:sz w:val="32"/>
          <w:szCs w:val="32"/>
        </w:rPr>
        <w:t>2021</w:t>
      </w:r>
      <w:r>
        <w:rPr>
          <w:rFonts w:hint="eastAsia" w:ascii="仿宋_GB2312" w:hAnsi="Calibri" w:eastAsia="仿宋_GB2312" w:cs="仿宋_GB2312"/>
          <w:snapToGrid w:val="0"/>
          <w:sz w:val="32"/>
          <w:szCs w:val="32"/>
        </w:rPr>
        <w:t>年综合性人才招聘会”等现场招聘会</w:t>
      </w:r>
      <w:r>
        <w:rPr>
          <w:rFonts w:hint="eastAsia" w:ascii="仿宋_GB2312" w:hAnsi="Calibri" w:eastAsia="仿宋_GB2312" w:cs="仿宋_GB2312"/>
          <w:sz w:val="32"/>
          <w:szCs w:val="32"/>
        </w:rPr>
        <w:t>13</w:t>
      </w:r>
      <w:r>
        <w:rPr>
          <w:rFonts w:hint="eastAsia" w:ascii="仿宋_GB2312" w:hAnsi="Calibri" w:eastAsia="仿宋_GB2312" w:cs="仿宋_GB2312"/>
          <w:snapToGrid w:val="0"/>
          <w:sz w:val="32"/>
          <w:szCs w:val="32"/>
        </w:rPr>
        <w:t>场，“我为企业找人才”系列线上招聘会</w:t>
      </w:r>
      <w:r>
        <w:rPr>
          <w:rFonts w:hint="eastAsia" w:ascii="仿宋_GB2312" w:hAnsi="Calibri" w:eastAsia="仿宋_GB2312" w:cs="仿宋_GB2312"/>
          <w:sz w:val="32"/>
          <w:szCs w:val="32"/>
        </w:rPr>
        <w:t>10</w:t>
      </w:r>
      <w:r>
        <w:rPr>
          <w:rFonts w:hint="eastAsia" w:ascii="仿宋_GB2312" w:hAnsi="Calibri" w:eastAsia="仿宋_GB2312" w:cs="仿宋_GB2312"/>
          <w:snapToGrid w:val="0"/>
          <w:sz w:val="32"/>
          <w:szCs w:val="32"/>
        </w:rPr>
        <w:t>场。聚焦我市</w:t>
      </w:r>
      <w:r>
        <w:rPr>
          <w:rFonts w:hint="eastAsia" w:ascii="仿宋_GB2312" w:hAnsi="Calibri" w:eastAsia="仿宋_GB2312" w:cs="仿宋_GB2312"/>
          <w:sz w:val="32"/>
          <w:szCs w:val="32"/>
        </w:rPr>
        <w:t>13</w:t>
      </w:r>
      <w:r>
        <w:rPr>
          <w:rFonts w:hint="eastAsia" w:ascii="仿宋_GB2312" w:hAnsi="Calibri" w:eastAsia="仿宋_GB2312" w:cs="仿宋_GB2312"/>
          <w:snapToGrid w:val="0"/>
          <w:sz w:val="32"/>
          <w:szCs w:val="32"/>
        </w:rPr>
        <w:t>条重点产业链，与我市相关行业主管部门联合开展专业的系列招才引智活动。</w:t>
      </w:r>
    </w:p>
    <w:p>
      <w:pPr>
        <w:spacing w:line="560" w:lineRule="exact"/>
        <w:ind w:firstLine="642" w:firstLineChars="200"/>
        <w:rPr>
          <w:rFonts w:ascii="仿宋_GB2312" w:hAnsi="仿宋" w:eastAsia="仿宋_GB2312" w:cs="Times New Roman"/>
          <w:sz w:val="32"/>
          <w:szCs w:val="32"/>
        </w:rPr>
      </w:pPr>
      <w:r>
        <w:rPr>
          <w:rFonts w:hint="eastAsia" w:ascii="仿宋_GB2312" w:hAnsi="Times New Roman" w:eastAsia="仿宋_GB2312" w:cs="宋体"/>
          <w:b/>
          <w:sz w:val="32"/>
          <w:szCs w:val="32"/>
        </w:rPr>
        <w:t>2.开展人力资源服务机构助力企业活动。</w:t>
      </w:r>
      <w:r>
        <w:rPr>
          <w:rFonts w:hint="eastAsia" w:ascii="仿宋_GB2312" w:hAnsi="仿宋_GB2312" w:eastAsia="仿宋_GB2312" w:cs="仿宋_GB2312"/>
          <w:sz w:val="32"/>
          <w:szCs w:val="32"/>
        </w:rPr>
        <w:t>组织人力资源服务机构参与“</w:t>
      </w:r>
      <w:r>
        <w:rPr>
          <w:rFonts w:hint="eastAsia" w:ascii="仿宋_GB2312" w:hAnsi="仿宋_GB2312" w:eastAsia="仿宋_GB2312" w:cs="仿宋_GB2312"/>
          <w:sz w:val="32"/>
          <w:szCs w:val="32"/>
          <w:lang w:val="zh-CN"/>
        </w:rPr>
        <w:t>招才引智名校行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百所高校千名博士青岛行</w:t>
      </w:r>
      <w:r>
        <w:rPr>
          <w:rFonts w:hint="eastAsia" w:ascii="仿宋_GB2312" w:hAnsi="仿宋_GB2312" w:eastAsia="仿宋_GB2312" w:cs="仿宋_GB2312"/>
          <w:sz w:val="32"/>
          <w:szCs w:val="32"/>
        </w:rPr>
        <w:t>”“蓝洽会”等促就业服务活动，通过线上线下结合、跨区域协同、校企联动联合等形式，联合开展招聘服务活动。举办青岛市重点企业与人力资源服务机构供需对接洽谈会，开展专项活动，为企业提供用工招聘、人才寻访、劳务派遣、员工培训、服务外包等精准服务，促进各类劳动者就业。</w:t>
      </w:r>
    </w:p>
    <w:p>
      <w:pPr>
        <w:spacing w:line="560" w:lineRule="exact"/>
        <w:ind w:firstLine="630"/>
        <w:rPr>
          <w:rFonts w:ascii="仿宋_GB2312" w:hAnsi="Times New Roman" w:eastAsia="仿宋_GB2312" w:cs="Times New Roman"/>
          <w:sz w:val="32"/>
          <w:szCs w:val="32"/>
        </w:rPr>
      </w:pPr>
      <w:r>
        <w:rPr>
          <w:rFonts w:hint="eastAsia" w:ascii="仿宋_GB2312" w:hAnsi="Times New Roman" w:eastAsia="仿宋_GB2312" w:cs="宋体"/>
          <w:b/>
          <w:sz w:val="32"/>
          <w:szCs w:val="32"/>
        </w:rPr>
        <w:t>3.实施技工院校顶岗实习计划。</w:t>
      </w:r>
      <w:r>
        <w:rPr>
          <w:rFonts w:hint="eastAsia" w:ascii="仿宋_GB2312" w:hAnsi="Calibri" w:eastAsia="仿宋_GB2312" w:cs="仿宋_GB2312"/>
          <w:sz w:val="32"/>
          <w:szCs w:val="32"/>
        </w:rPr>
        <w:t>建立</w:t>
      </w:r>
      <w:r>
        <w:rPr>
          <w:rFonts w:hint="eastAsia" w:ascii="仿宋_GB2312" w:eastAsia="仿宋_GB2312" w:cs="仿宋_GB2312"/>
          <w:sz w:val="32"/>
          <w:szCs w:val="32"/>
        </w:rPr>
        <w:t>服务</w:t>
      </w:r>
      <w:r>
        <w:rPr>
          <w:rFonts w:hint="eastAsia" w:ascii="仿宋_GB2312" w:hAnsi="Calibri" w:eastAsia="仿宋_GB2312" w:cs="仿宋_GB2312"/>
          <w:sz w:val="32"/>
          <w:szCs w:val="32"/>
        </w:rPr>
        <w:t>企业用工需求监测机制，调查分析企业用工需求和专业方向，按照地域就近、专业相近原则，组织技工院校开展顶岗实习、实践教学，安排技校生上岗实践，解决企业用工缺口。调整和完善技工院校专业设置，加大校企合作和招生力度，满足企业转型升级发展过程中的急需紧缺用工需求。</w:t>
      </w:r>
    </w:p>
    <w:p>
      <w:pPr>
        <w:pStyle w:val="7"/>
        <w:spacing w:line="560" w:lineRule="exact"/>
        <w:ind w:firstLine="642" w:firstLineChars="200"/>
        <w:rPr>
          <w:rFonts w:ascii="仿宋_GB2312" w:hAnsi="Times New Roman" w:eastAsia="仿宋_GB2312" w:cs="Times New Roman"/>
          <w:sz w:val="32"/>
          <w:szCs w:val="32"/>
        </w:rPr>
      </w:pPr>
      <w:r>
        <w:rPr>
          <w:rFonts w:hint="eastAsia" w:ascii="仿宋_GB2312" w:hAnsi="Times New Roman" w:eastAsia="仿宋_GB2312"/>
          <w:b/>
          <w:sz w:val="32"/>
          <w:szCs w:val="32"/>
        </w:rPr>
        <w:t>4.举办人力资源合作交流大会。</w:t>
      </w:r>
      <w:r>
        <w:rPr>
          <w:rFonts w:hint="eastAsia" w:ascii="仿宋_GB2312" w:eastAsia="仿宋_GB2312" w:cs="仿宋_GB2312"/>
          <w:sz w:val="32"/>
          <w:szCs w:val="32"/>
        </w:rPr>
        <w:t>加强与国内劳动力资源丰富地区和对口协作地区对接，搭建人力资源合作交流平台，促进人力资源服务机构及院校间开展劳务合作，推动人力资源有序流动，提升我市人力资源储备和供给。到2021年底前，在省外劳动力资源丰富地区以及我市对口协作地区建立劳务合作基地不少于100个。</w:t>
      </w:r>
    </w:p>
    <w:p>
      <w:pPr>
        <w:spacing w:line="560" w:lineRule="exact"/>
        <w:ind w:firstLine="642" w:firstLineChars="200"/>
        <w:rPr>
          <w:rFonts w:ascii="仿宋_GB2312" w:hAnsi="仿宋" w:eastAsia="仿宋_GB2312" w:cs="Times New Roman"/>
          <w:sz w:val="32"/>
          <w:szCs w:val="32"/>
        </w:rPr>
      </w:pPr>
      <w:r>
        <w:rPr>
          <w:rFonts w:hint="eastAsia" w:ascii="仿宋_GB2312" w:hAnsi="Times New Roman" w:eastAsia="仿宋_GB2312" w:cs="宋体"/>
          <w:b/>
          <w:sz w:val="32"/>
          <w:szCs w:val="32"/>
        </w:rPr>
        <w:t>5.深入开展职业技能提升行动。</w:t>
      </w:r>
      <w:r>
        <w:rPr>
          <w:rFonts w:hint="eastAsia" w:ascii="仿宋_GB2312" w:hAnsi="仿宋_GB2312" w:eastAsia="仿宋_GB2312" w:cs="仿宋_GB2312"/>
          <w:sz w:val="32"/>
          <w:szCs w:val="32"/>
        </w:rPr>
        <w:t>进一步扩大培训补贴范围，加快推进专项职业能力培训及考核，实施就业技能培训合格证书补贴政策。对接产业发展需求，用活用好项目制培训，大力开展工业互联网职业技能培训，高质量实施康养职业技能培训、人力资源服务行业培训。对接乡村振兴攻势，推广乡村技能培训夜校模式，打造技能培训流动课堂，提高农村转移劳动力参训便利度。全年开展各类城乡劳动者职业技能培训不少于10万人（次）。</w:t>
      </w:r>
    </w:p>
    <w:p>
      <w:pPr>
        <w:spacing w:line="560" w:lineRule="exact"/>
        <w:ind w:firstLine="642" w:firstLineChars="200"/>
        <w:rPr>
          <w:rFonts w:ascii="楷体_GB2312" w:hAnsi="楷体_GB2312" w:eastAsia="楷体_GB2312" w:cs="楷体_GB2312"/>
          <w:bCs/>
          <w:snapToGrid w:val="0"/>
          <w:sz w:val="32"/>
          <w:szCs w:val="32"/>
        </w:rPr>
      </w:pPr>
      <w:r>
        <w:rPr>
          <w:rFonts w:hint="eastAsia" w:ascii="仿宋_GB2312" w:hAnsi="Times New Roman" w:eastAsia="仿宋_GB2312" w:cs="宋体"/>
          <w:b/>
          <w:sz w:val="32"/>
          <w:szCs w:val="32"/>
        </w:rPr>
        <w:t>6.启用灵活就业平台。</w:t>
      </w:r>
      <w:r>
        <w:rPr>
          <w:rFonts w:hint="eastAsia" w:ascii="仿宋_GB2312" w:hAnsi="仿宋_GB2312" w:eastAsia="仿宋_GB2312" w:cs="仿宋_GB2312"/>
          <w:sz w:val="32"/>
          <w:szCs w:val="32"/>
        </w:rPr>
        <w:t>坚持“政府引导、社会创建、市场运作”的原则，创建青岛市灵活就业服务平台，采取市场化运营方式，依托平台建立灵活就业岗位和人员信息库，开展线上供需对接、技能提升、共享用工等服务，扩大针对灵活就业人员的就业、社保等政策供给，提供便捷、高效的一站式服务。</w:t>
      </w:r>
    </w:p>
    <w:p>
      <w:pPr>
        <w:spacing w:line="560" w:lineRule="exact"/>
        <w:ind w:firstLine="642" w:firstLineChars="200"/>
        <w:rPr>
          <w:rFonts w:ascii="楷体_GB2312" w:hAnsi="楷体_GB2312" w:eastAsia="楷体_GB2312" w:cs="楷体_GB2312"/>
          <w:bCs/>
          <w:snapToGrid w:val="0"/>
          <w:sz w:val="32"/>
          <w:szCs w:val="32"/>
        </w:rPr>
      </w:pPr>
      <w:r>
        <w:rPr>
          <w:rFonts w:hint="eastAsia" w:ascii="仿宋_GB2312" w:hAnsi="Times New Roman" w:eastAsia="仿宋_GB2312" w:cs="宋体"/>
          <w:b/>
          <w:sz w:val="32"/>
          <w:szCs w:val="32"/>
        </w:rPr>
        <w:t>7.强化离校未就业高校毕业生就业服务。</w:t>
      </w:r>
      <w:r>
        <w:rPr>
          <w:rFonts w:hint="eastAsia" w:ascii="仿宋_GB2312" w:hAnsi="仿宋_GB2312" w:eastAsia="仿宋_GB2312" w:cs="仿宋_GB2312"/>
          <w:snapToGrid w:val="0"/>
          <w:sz w:val="32"/>
          <w:szCs w:val="32"/>
        </w:rPr>
        <w:t>对未就业高校毕业生实行实名制登记管理，集中开展全面摸排，建立动态跟踪服务台账。建立市、区（市</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z w:val="32"/>
          <w:szCs w:val="32"/>
        </w:rPr>
        <w:t>、街道、社区四级“网格化”服务体系，根据毕业生需求提供就业指导、岗位推荐、政策咨询等精准帮扶，促进毕业生尽快实现就业。搭建青年实习实训公共服务平台，扩大校企合作渠道，为院校、企业、学生提供岗位对接、补贴申报、提升能力等“三位一体”服务，帮助企业化解用人育人难题。</w:t>
      </w:r>
    </w:p>
    <w:p>
      <w:pPr>
        <w:spacing w:line="560" w:lineRule="exact"/>
        <w:ind w:firstLine="642" w:firstLineChars="200"/>
        <w:rPr>
          <w:rFonts w:ascii="仿宋_GB2312" w:hAnsi="仿宋_GB2312" w:eastAsia="仿宋_GB2312" w:cs="仿宋_GB2312"/>
          <w:sz w:val="32"/>
          <w:szCs w:val="32"/>
        </w:rPr>
      </w:pPr>
      <w:r>
        <w:rPr>
          <w:rFonts w:hint="eastAsia" w:ascii="仿宋_GB2312" w:hAnsi="Times New Roman" w:eastAsia="仿宋_GB2312" w:cs="宋体"/>
          <w:b/>
          <w:sz w:val="32"/>
          <w:szCs w:val="32"/>
        </w:rPr>
        <w:t>8.开展共享用工对接服务。</w:t>
      </w:r>
      <w:r>
        <w:rPr>
          <w:rFonts w:hint="eastAsia" w:ascii="仿宋_GB2312" w:hAnsi="仿宋_GB2312" w:eastAsia="仿宋_GB2312" w:cs="仿宋_GB2312"/>
          <w:bCs/>
          <w:snapToGrid w:val="0"/>
          <w:sz w:val="32"/>
          <w:szCs w:val="32"/>
        </w:rPr>
        <w:t>通过青岛市灵活就业服务平台发布企业共享用工需求，将具有</w:t>
      </w:r>
      <w:r>
        <w:rPr>
          <w:rFonts w:hint="eastAsia" w:ascii="仿宋_GB2312" w:eastAsia="仿宋_GB2312"/>
          <w:sz w:val="32"/>
          <w:szCs w:val="32"/>
        </w:rPr>
        <w:t>工作性质相近、工资待遇相近、技能要求相近等同质化特点的员工通过系统匹配，提高用工效率。各级人力资源社会保障部门应</w:t>
      </w:r>
      <w:r>
        <w:rPr>
          <w:rFonts w:hint="eastAsia" w:ascii="仿宋_GB2312" w:hAnsi="仿宋_GB2312" w:eastAsia="仿宋_GB2312" w:cs="仿宋_GB2312"/>
          <w:kern w:val="0"/>
          <w:sz w:val="32"/>
          <w:szCs w:val="32"/>
        </w:rPr>
        <w:t>加强共享用工指导，</w:t>
      </w:r>
      <w:r>
        <w:rPr>
          <w:rFonts w:hint="eastAsia" w:ascii="仿宋_GB2312" w:hAnsi="仿宋_GB2312" w:eastAsia="仿宋_GB2312" w:cs="仿宋_GB2312"/>
          <w:sz w:val="32"/>
          <w:szCs w:val="32"/>
        </w:rPr>
        <w:t>通过多渠道进行政策宣讲，明确释明法律边界，妥善处理共享用工劳动关系问题。</w:t>
      </w:r>
    </w:p>
    <w:p>
      <w:pPr>
        <w:pStyle w:val="8"/>
        <w:widowControl/>
        <w:spacing w:before="0" w:beforeAutospacing="0" w:after="0" w:afterAutospacing="0" w:line="560" w:lineRule="exact"/>
        <w:ind w:firstLine="640" w:firstLineChars="200"/>
        <w:jc w:val="both"/>
        <w:rPr>
          <w:rFonts w:ascii="楷体_GB2312" w:hAnsi="仿宋_GB2312" w:eastAsia="楷体_GB2312" w:cs="仿宋_GB2312"/>
          <w:kern w:val="2"/>
          <w:sz w:val="32"/>
          <w:szCs w:val="32"/>
        </w:rPr>
      </w:pPr>
      <w:r>
        <w:rPr>
          <w:rFonts w:hint="eastAsia" w:ascii="楷体_GB2312" w:hAnsi="仿宋_GB2312" w:eastAsia="楷体_GB2312" w:cs="仿宋_GB2312"/>
          <w:kern w:val="2"/>
          <w:sz w:val="32"/>
          <w:szCs w:val="32"/>
        </w:rPr>
        <w:t>（三）健全用工保障服务机制</w:t>
      </w:r>
    </w:p>
    <w:p>
      <w:pPr>
        <w:spacing w:line="560" w:lineRule="exact"/>
        <w:ind w:firstLine="642" w:firstLineChars="200"/>
        <w:rPr>
          <w:rFonts w:ascii="仿宋_GB2312" w:hAnsi="仿宋" w:eastAsia="仿宋_GB2312" w:cs="仿宋"/>
          <w:sz w:val="32"/>
          <w:szCs w:val="32"/>
        </w:rPr>
      </w:pPr>
      <w:r>
        <w:rPr>
          <w:rFonts w:hint="eastAsia" w:ascii="仿宋_GB2312" w:hAnsi="Times New Roman" w:eastAsia="仿宋_GB2312" w:cs="宋体"/>
          <w:b/>
          <w:sz w:val="32"/>
          <w:szCs w:val="32"/>
        </w:rPr>
        <w:t>1.健全人力资源市场机制。</w:t>
      </w:r>
      <w:r>
        <w:rPr>
          <w:rFonts w:hint="eastAsia" w:ascii="仿宋_GB2312" w:hAnsi="仿宋_GB2312" w:eastAsia="仿宋_GB2312" w:cs="仿宋_GB2312"/>
          <w:sz w:val="32"/>
          <w:szCs w:val="32"/>
        </w:rPr>
        <w:t>鼓励人力资源服务机构拓展求职招聘服务模式，推动人力资源服务行业搭建“HR线上直通车”平台，打造“线上+线下”一体化服务模式，提供更加便利的招聘服务环境。</w:t>
      </w:r>
      <w:r>
        <w:rPr>
          <w:rFonts w:hint="eastAsia" w:ascii="仿宋_GB2312" w:hAnsi="仿宋" w:eastAsia="仿宋_GB2312" w:cs="仿宋"/>
          <w:sz w:val="32"/>
          <w:szCs w:val="32"/>
        </w:rPr>
        <w:t>强化我市人力资源服务机构与劳务合作地区有关单位、机构关系，通过开展技能培训、派出技术人才、建立培训基地、设立分支机构等方式创新工作机制，为劳务合作地区就业创业活动提供指导服务，整合资源促进东西劳务协作。</w:t>
      </w:r>
    </w:p>
    <w:p>
      <w:pPr>
        <w:spacing w:line="560" w:lineRule="exact"/>
        <w:rPr>
          <w:rFonts w:ascii="仿宋_GB2312" w:eastAsia="仿宋_GB2312" w:cs="仿宋_GB2312"/>
          <w:sz w:val="32"/>
          <w:szCs w:val="32"/>
        </w:rPr>
      </w:pPr>
      <w:r>
        <w:rPr>
          <w:rFonts w:hint="eastAsia" w:ascii="楷体_GB2312" w:hAnsi="仿宋_GB2312" w:eastAsia="楷体_GB2312" w:cs="仿宋_GB2312"/>
          <w:sz w:val="32"/>
          <w:szCs w:val="32"/>
        </w:rPr>
        <w:t xml:space="preserve">    </w:t>
      </w:r>
      <w:r>
        <w:rPr>
          <w:rFonts w:hint="eastAsia" w:ascii="仿宋_GB2312" w:hAnsi="Times New Roman" w:eastAsia="仿宋_GB2312" w:cs="宋体"/>
          <w:b/>
          <w:sz w:val="32"/>
          <w:szCs w:val="32"/>
        </w:rPr>
        <w:t>2.优化技能人才培养资源配置机制。</w:t>
      </w:r>
      <w:r>
        <w:rPr>
          <w:rFonts w:hint="eastAsia" w:ascii="仿宋_GB2312" w:hAnsi="仿宋_GB2312" w:eastAsia="仿宋_GB2312" w:cs="仿宋_GB2312"/>
          <w:sz w:val="32"/>
          <w:szCs w:val="32"/>
        </w:rPr>
        <w:t>鼓励职业院校与技工院校、学历与技能双元融合发展，</w:t>
      </w:r>
      <w:r>
        <w:rPr>
          <w:rFonts w:hint="eastAsia" w:ascii="仿宋_GB2312" w:hAnsi="Calibri" w:eastAsia="仿宋_GB2312" w:cs="仿宋_GB2312"/>
          <w:sz w:val="32"/>
          <w:szCs w:val="32"/>
        </w:rPr>
        <w:t>统筹推进技工院校和中等职业院校联合招生，技工院校在校生规模保持3万人以上。大力实施</w:t>
      </w:r>
      <w:r>
        <w:rPr>
          <w:rFonts w:hint="eastAsia" w:ascii="仿宋_GB2312" w:hAnsi="仿宋_GB2312" w:eastAsia="仿宋_GB2312" w:cs="仿宋_GB2312"/>
          <w:sz w:val="32"/>
          <w:szCs w:val="32"/>
        </w:rPr>
        <w:t>青岛市职业院校“领航计划”“扬帆计划”建设项目，着力在技工院校建设一批优质专业</w:t>
      </w:r>
      <w:r>
        <w:rPr>
          <w:rFonts w:hint="eastAsia" w:ascii="仿宋_GB2312" w:hAnsi="Calibri" w:eastAsia="仿宋_GB2312" w:cs="仿宋_GB2312"/>
          <w:sz w:val="32"/>
          <w:szCs w:val="32"/>
        </w:rPr>
        <w:t>。加强技工院校思想政治理论课教学研究和指导，为推动经济社会更高质量发展培养大批高素质劳动者和技术技能人才。</w:t>
      </w:r>
    </w:p>
    <w:p>
      <w:pPr>
        <w:spacing w:line="560" w:lineRule="exact"/>
        <w:ind w:firstLine="642" w:firstLineChars="200"/>
        <w:rPr>
          <w:rFonts w:ascii="黑体" w:hAnsi="宋体" w:eastAsia="黑体" w:cs="黑体"/>
          <w:snapToGrid w:val="0"/>
          <w:kern w:val="0"/>
          <w:sz w:val="32"/>
          <w:szCs w:val="32"/>
        </w:rPr>
      </w:pPr>
      <w:r>
        <w:rPr>
          <w:rFonts w:hint="eastAsia" w:ascii="仿宋_GB2312" w:hAnsi="Times New Roman" w:eastAsia="仿宋_GB2312" w:cs="宋体"/>
          <w:b/>
          <w:sz w:val="32"/>
          <w:szCs w:val="32"/>
        </w:rPr>
        <w:t>3.健全用工环境提升机制。</w:t>
      </w:r>
      <w:r>
        <w:rPr>
          <w:rFonts w:hint="eastAsia" w:ascii="仿宋_GB2312" w:hAnsi="仿宋_GB2312" w:eastAsia="仿宋_GB2312" w:cs="仿宋_GB2312"/>
          <w:snapToGrid w:val="0"/>
          <w:sz w:val="32"/>
          <w:szCs w:val="32"/>
        </w:rPr>
        <w:t>加强</w:t>
      </w:r>
      <w:r>
        <w:rPr>
          <w:rFonts w:hint="eastAsia" w:ascii="仿宋_GB2312" w:hAnsi="仿宋_GB2312" w:eastAsia="仿宋_GB2312" w:cs="仿宋_GB2312"/>
          <w:sz w:val="32"/>
          <w:szCs w:val="32"/>
        </w:rPr>
        <w:t>工资宏观调控指导，落实最低工资调整工作，使最低工资标准调整与主要相关经济社会发展指标变化相匹配。充分发挥工资指导线对引导企业合理安排工资增长、推动工资集体协商的积极作用，建立薪酬调查和信息发布制度，为深化企业工资分配制度改革、调节工资分配关系提供决策支持。</w:t>
      </w:r>
      <w:r>
        <w:rPr>
          <w:rFonts w:hint="eastAsia" w:ascii="仿宋_GB2312" w:hAnsi="仿宋_GB2312" w:eastAsia="仿宋_GB2312" w:cs="仿宋_GB2312"/>
          <w:snapToGrid w:val="0"/>
          <w:sz w:val="32"/>
          <w:szCs w:val="32"/>
        </w:rPr>
        <w:t>加大政策法规宣传，增强用人单位依法用工自觉性和劳动者合法维权意识。畅通举报投诉渠道，方便劳动者维权。依法开展执法检查活动，依法纠正和查处用人单位违法行为。</w:t>
      </w:r>
    </w:p>
    <w:p>
      <w:pPr>
        <w:autoSpaceDE w:val="0"/>
        <w:autoSpaceDN w:val="0"/>
        <w:spacing w:line="560" w:lineRule="exact"/>
        <w:ind w:firstLine="630"/>
        <w:rPr>
          <w:rFonts w:ascii="黑体" w:hAnsi="宋体" w:eastAsia="黑体" w:cs="黑体"/>
          <w:kern w:val="0"/>
          <w:sz w:val="32"/>
          <w:szCs w:val="32"/>
        </w:rPr>
      </w:pPr>
      <w:r>
        <w:rPr>
          <w:rFonts w:hint="eastAsia" w:ascii="黑体" w:hAnsi="宋体" w:eastAsia="黑体" w:cs="黑体"/>
          <w:snapToGrid w:val="0"/>
          <w:kern w:val="0"/>
          <w:sz w:val="32"/>
          <w:szCs w:val="32"/>
        </w:rPr>
        <w:t>三、保障措施</w:t>
      </w:r>
    </w:p>
    <w:p>
      <w:pPr>
        <w:autoSpaceDE w:val="0"/>
        <w:autoSpaceDN w:val="0"/>
        <w:spacing w:line="560" w:lineRule="exact"/>
        <w:ind w:firstLine="640" w:firstLineChars="200"/>
        <w:rPr>
          <w:rFonts w:ascii="仿宋_GB2312" w:hAnsi="仿宋_GB2312" w:eastAsia="仿宋_GB2312" w:cs="仿宋_GB2312"/>
          <w:snapToGrid w:val="0"/>
          <w:kern w:val="0"/>
          <w:sz w:val="32"/>
          <w:szCs w:val="32"/>
        </w:rPr>
      </w:pPr>
      <w:r>
        <w:rPr>
          <w:rFonts w:hint="eastAsia" w:ascii="楷体_GB2312" w:hAnsi="仿宋" w:eastAsia="楷体_GB2312" w:cs="楷体_GB2312"/>
          <w:snapToGrid w:val="0"/>
          <w:kern w:val="0"/>
          <w:sz w:val="32"/>
          <w:szCs w:val="32"/>
        </w:rPr>
        <w:t>（一）加强组织领导</w:t>
      </w:r>
      <w:r>
        <w:rPr>
          <w:rFonts w:hint="eastAsia" w:ascii="黑体" w:hAnsi="黑体" w:eastAsia="黑体"/>
          <w:szCs w:val="32"/>
        </w:rPr>
        <w:t>。</w:t>
      </w:r>
      <w:r>
        <w:rPr>
          <w:rFonts w:hint="eastAsia" w:ascii="仿宋_GB2312" w:hAnsi="仿宋_GB2312" w:eastAsia="仿宋_GB2312" w:cs="仿宋_GB2312"/>
          <w:snapToGrid w:val="0"/>
          <w:kern w:val="0"/>
          <w:sz w:val="32"/>
          <w:szCs w:val="32"/>
        </w:rPr>
        <w:t>各级人力资源社会保障部门</w:t>
      </w:r>
      <w:r>
        <w:rPr>
          <w:rFonts w:hint="eastAsia" w:ascii="仿宋_GB2312" w:hAnsi="仿宋_GB2312" w:eastAsia="仿宋_GB2312" w:cs="仿宋_GB2312"/>
          <w:sz w:val="32"/>
          <w:szCs w:val="32"/>
        </w:rPr>
        <w:t>要提高站位，切实加强</w:t>
      </w:r>
      <w:r>
        <w:rPr>
          <w:rFonts w:hint="eastAsia" w:ascii="仿宋_GB2312" w:hAnsi="仿宋_GB2312" w:eastAsia="仿宋_GB2312" w:cs="仿宋_GB2312"/>
          <w:color w:val="000000"/>
          <w:sz w:val="32"/>
          <w:szCs w:val="32"/>
        </w:rPr>
        <w:t>企业用工保障服务</w:t>
      </w:r>
      <w:r>
        <w:rPr>
          <w:rFonts w:hint="eastAsia" w:ascii="仿宋_GB2312" w:hAnsi="仿宋_GB2312" w:eastAsia="仿宋_GB2312" w:cs="仿宋_GB2312"/>
          <w:sz w:val="32"/>
          <w:szCs w:val="32"/>
        </w:rPr>
        <w:t>工作的组织领导，</w:t>
      </w:r>
      <w:r>
        <w:rPr>
          <w:rFonts w:hint="eastAsia" w:ascii="仿宋_GB2312" w:hAnsi="仿宋_GB2312" w:eastAsia="仿宋_GB2312" w:cs="仿宋_GB2312"/>
          <w:snapToGrid w:val="0"/>
          <w:kern w:val="0"/>
          <w:sz w:val="32"/>
          <w:szCs w:val="32"/>
        </w:rPr>
        <w:t>充分调动就业工作领导小组各成员单位的作用，强化统筹协调。市局将成立由主要负责同志任组长、分管负责同志任副组长、各职能处室（单位）主要负责人为成员的工作专班，各区（市）人力资源社会保障部门也要成立相应机构，推动各项工作落实落地。</w:t>
      </w:r>
    </w:p>
    <w:p>
      <w:pPr>
        <w:spacing w:line="560" w:lineRule="exact"/>
        <w:ind w:firstLine="640" w:firstLineChars="200"/>
        <w:rPr>
          <w:rFonts w:ascii="仿宋_GB2312" w:hAnsi="仿宋" w:eastAsia="仿宋_GB2312" w:cs="仿宋_GB2312"/>
          <w:kern w:val="0"/>
          <w:sz w:val="32"/>
          <w:szCs w:val="32"/>
        </w:rPr>
      </w:pPr>
      <w:r>
        <w:rPr>
          <w:rFonts w:hint="eastAsia" w:ascii="楷体_GB2312" w:hAnsi="楷体_GB2312" w:eastAsia="楷体_GB2312" w:cs="楷体_GB2312"/>
          <w:bCs/>
          <w:snapToGrid w:val="0"/>
          <w:kern w:val="0"/>
          <w:sz w:val="32"/>
          <w:szCs w:val="32"/>
        </w:rPr>
        <w:t>（二）确保工作落实。</w:t>
      </w:r>
      <w:r>
        <w:rPr>
          <w:rFonts w:hint="eastAsia" w:ascii="仿宋_GB2312" w:hAnsi="楷体_GB2312" w:eastAsia="仿宋_GB2312" w:cs="楷体_GB2312"/>
          <w:bCs/>
          <w:snapToGrid w:val="0"/>
          <w:kern w:val="0"/>
          <w:sz w:val="32"/>
          <w:szCs w:val="32"/>
        </w:rPr>
        <w:t>各区（市）</w:t>
      </w:r>
      <w:r>
        <w:rPr>
          <w:rFonts w:hint="eastAsia" w:ascii="仿宋_GB2312" w:hAnsi="仿宋" w:eastAsia="仿宋_GB2312" w:cs="仿宋_GB2312"/>
          <w:snapToGrid w:val="0"/>
          <w:kern w:val="0"/>
          <w:sz w:val="32"/>
          <w:szCs w:val="32"/>
        </w:rPr>
        <w:t>要制定行动方案，细化时间表、路线图、责任链，推动问题清单化、举措精准化、责任明晰化，确保专项行动扎实有效开展。市局将建立“周调度”“月通报”机制，对专项行动开展情况定期进行调度通报，将解决企业用工人数、降低企业缺工率、指导督促企业提升用工环境、培养留住人才等情况列入考核，推动问题逐个解决，任务逐项落实。</w:t>
      </w:r>
    </w:p>
    <w:p>
      <w:pPr>
        <w:autoSpaceDE w:val="0"/>
        <w:autoSpaceDN w:val="0"/>
        <w:spacing w:line="560" w:lineRule="exact"/>
        <w:ind w:firstLine="630"/>
        <w:rPr>
          <w:rFonts w:ascii="仿宋_GB2312" w:eastAsia="仿宋_GB2312" w:cs="仿宋_GB2312"/>
          <w:snapToGrid w:val="0"/>
          <w:sz w:val="32"/>
          <w:szCs w:val="32"/>
        </w:rPr>
      </w:pPr>
      <w:r>
        <w:rPr>
          <w:rFonts w:hint="eastAsia" w:ascii="楷体_GB2312" w:hAnsi="楷体" w:eastAsia="楷体_GB2312" w:cs="楷体_GB2312"/>
          <w:snapToGrid w:val="0"/>
          <w:kern w:val="0"/>
          <w:sz w:val="32"/>
          <w:szCs w:val="32"/>
        </w:rPr>
        <w:t>（三）注重综合施策。</w:t>
      </w:r>
      <w:r>
        <w:rPr>
          <w:rFonts w:hint="eastAsia" w:ascii="仿宋_GB2312" w:hAnsi="仿宋_GB2312" w:eastAsia="仿宋_GB2312" w:cs="仿宋_GB2312"/>
          <w:bCs/>
          <w:snapToGrid w:val="0"/>
          <w:kern w:val="0"/>
          <w:sz w:val="32"/>
          <w:szCs w:val="32"/>
        </w:rPr>
        <w:t>要深入</w:t>
      </w:r>
      <w:r>
        <w:rPr>
          <w:rFonts w:hint="eastAsia" w:ascii="仿宋_GB2312" w:hAnsi="华文仿宋" w:eastAsia="仿宋_GB2312" w:cs="仿宋_GB2312"/>
          <w:snapToGrid w:val="0"/>
          <w:sz w:val="32"/>
          <w:szCs w:val="32"/>
        </w:rPr>
        <w:t>开展“人社政策畅通行”活动，</w:t>
      </w:r>
      <w:r>
        <w:rPr>
          <w:rFonts w:hint="eastAsia" w:ascii="仿宋_GB2312" w:hAnsi="仿宋_GB2312" w:eastAsia="仿宋_GB2312" w:cs="仿宋_GB2312"/>
          <w:bCs/>
          <w:snapToGrid w:val="0"/>
          <w:kern w:val="0"/>
          <w:sz w:val="32"/>
          <w:szCs w:val="32"/>
        </w:rPr>
        <w:t>打包就业、人才、培训等政策，</w:t>
      </w:r>
      <w:r>
        <w:rPr>
          <w:rFonts w:hint="eastAsia" w:ascii="仿宋_GB2312" w:hAnsi="华文仿宋" w:eastAsia="仿宋_GB2312" w:cs="仿宋_GB2312"/>
          <w:snapToGrid w:val="0"/>
          <w:sz w:val="32"/>
          <w:szCs w:val="32"/>
        </w:rPr>
        <w:t>一体推进政策宣传解读落实，为企业用工和劳动者就业提供政策保障。</w:t>
      </w:r>
      <w:r>
        <w:rPr>
          <w:rFonts w:hint="eastAsia" w:ascii="仿宋_GB2312" w:hAnsi="仿宋_GB2312" w:eastAsia="仿宋_GB2312" w:cs="仿宋_GB2312"/>
          <w:snapToGrid w:val="0"/>
          <w:kern w:val="0"/>
          <w:sz w:val="32"/>
          <w:szCs w:val="32"/>
        </w:rPr>
        <w:t>通过</w:t>
      </w:r>
      <w:r>
        <w:rPr>
          <w:rFonts w:hint="eastAsia" w:ascii="仿宋_GB2312" w:hAnsi="仿宋_GB2312" w:eastAsia="仿宋_GB2312" w:cs="仿宋_GB2312"/>
          <w:sz w:val="32"/>
          <w:szCs w:val="32"/>
        </w:rPr>
        <w:t>引入AI远程招聘系统，实现岗位实时发布，面试实时进行，数据实时统计，人岗实时匹配，</w:t>
      </w:r>
      <w:r>
        <w:rPr>
          <w:rFonts w:hint="eastAsia" w:ascii="仿宋_GB2312" w:hAnsi="仿宋" w:eastAsia="仿宋_GB2312" w:cs="仿宋_GB2312"/>
          <w:snapToGrid w:val="0"/>
          <w:kern w:val="0"/>
          <w:sz w:val="32"/>
          <w:szCs w:val="32"/>
        </w:rPr>
        <w:t>充分运用大数据、云计算等手段，推动数字赋能，提升服务质效。</w:t>
      </w:r>
    </w:p>
    <w:p>
      <w:pPr>
        <w:autoSpaceDE w:val="0"/>
        <w:autoSpaceDN w:val="0"/>
        <w:spacing w:line="560" w:lineRule="exact"/>
        <w:ind w:firstLine="640" w:firstLineChars="200"/>
        <w:rPr>
          <w:rFonts w:ascii="仿宋_GB2312" w:hAnsi="仿宋" w:eastAsia="仿宋_GB2312" w:cs="Times New Roman"/>
          <w:sz w:val="32"/>
          <w:szCs w:val="32"/>
        </w:rPr>
      </w:pPr>
      <w:r>
        <w:rPr>
          <w:rFonts w:hint="eastAsia" w:ascii="楷体_GB2312" w:hAnsi="仿宋" w:eastAsia="楷体_GB2312" w:cs="楷体_GB2312"/>
          <w:snapToGrid w:val="0"/>
          <w:kern w:val="0"/>
          <w:sz w:val="32"/>
          <w:szCs w:val="32"/>
        </w:rPr>
        <w:t>（四）加强宣传引导。</w:t>
      </w:r>
      <w:r>
        <w:rPr>
          <w:rFonts w:hint="eastAsia" w:ascii="仿宋_GB2312" w:hAnsi="仿宋" w:eastAsia="仿宋_GB2312" w:cs="仿宋_GB2312"/>
          <w:snapToGrid w:val="0"/>
          <w:kern w:val="0"/>
          <w:sz w:val="32"/>
          <w:szCs w:val="32"/>
        </w:rPr>
        <w:t>要把宣传工作贯穿专项行动全过程，坚持线上与线下结合，畅通宣传渠道，为</w:t>
      </w:r>
      <w:r>
        <w:rPr>
          <w:rFonts w:hint="eastAsia" w:ascii="仿宋_GB2312" w:hAnsi="仿宋_GB2312" w:eastAsia="仿宋_GB2312" w:cs="仿宋_GB2312"/>
          <w:color w:val="000000"/>
          <w:sz w:val="32"/>
          <w:szCs w:val="32"/>
        </w:rPr>
        <w:t>企业用工保障服务</w:t>
      </w:r>
      <w:r>
        <w:rPr>
          <w:rFonts w:hint="eastAsia" w:ascii="仿宋_GB2312" w:hAnsi="仿宋" w:eastAsia="仿宋_GB2312" w:cs="仿宋_GB2312"/>
          <w:snapToGrid w:val="0"/>
          <w:kern w:val="0"/>
          <w:sz w:val="32"/>
          <w:szCs w:val="32"/>
        </w:rPr>
        <w:t>专项行动营造浓厚的舆论环境。要大力宣传专项行动的积极成效，推广用工服务保障的经验做法，推动专项行动取得实效。</w:t>
      </w:r>
    </w:p>
    <w:p>
      <w:pPr>
        <w:adjustRightInd w:val="0"/>
        <w:snapToGrid w:val="0"/>
        <w:spacing w:line="600" w:lineRule="exact"/>
        <w:ind w:firstLine="642" w:firstLineChars="200"/>
        <w:rPr>
          <w:rFonts w:ascii="仿宋_GB2312" w:hAnsi="仿宋_GB2312" w:eastAsia="仿宋_GB2312" w:cs="仿宋_GB2312"/>
          <w:b/>
          <w:bCs/>
          <w:sz w:val="32"/>
          <w:szCs w:val="32"/>
        </w:rPr>
      </w:pPr>
    </w:p>
    <w:p>
      <w:pPr>
        <w:adjustRightInd w:val="0"/>
        <w:snapToGrid w:val="0"/>
        <w:spacing w:line="600" w:lineRule="exact"/>
        <w:ind w:firstLine="642" w:firstLineChars="200"/>
        <w:rPr>
          <w:rFonts w:ascii="仿宋_GB2312" w:hAnsi="仿宋_GB2312" w:eastAsia="仿宋_GB2312" w:cs="仿宋_GB2312"/>
          <w:b/>
          <w:bCs/>
          <w:sz w:val="32"/>
          <w:szCs w:val="32"/>
        </w:rPr>
      </w:pPr>
    </w:p>
    <w:p>
      <w:pPr>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adjustRightInd w:val="0"/>
        <w:snapToGrid w:val="0"/>
        <w:spacing w:line="600" w:lineRule="exact"/>
        <w:rPr>
          <w:rFonts w:ascii="仿宋_GB2312" w:hAnsi="仿宋_GB2312" w:eastAsia="仿宋_GB2312" w:cs="仿宋_GB2312"/>
          <w:sz w:val="32"/>
          <w:szCs w:val="32"/>
        </w:rPr>
      </w:pPr>
    </w:p>
    <w:p>
      <w:pPr>
        <w:adjustRightInd w:val="0"/>
        <w:snapToGrid w:val="0"/>
        <w:spacing w:line="600" w:lineRule="exact"/>
        <w:rPr>
          <w:rFonts w:ascii="仿宋_GB2312" w:hAnsi="仿宋_GB2312" w:eastAsia="仿宋_GB2312" w:cs="仿宋_GB2312"/>
          <w:sz w:val="32"/>
          <w:szCs w:val="32"/>
        </w:rPr>
      </w:pPr>
    </w:p>
    <w:p>
      <w:pPr>
        <w:spacing w:line="560" w:lineRule="atLeast"/>
        <w:ind w:firstLine="320" w:firstLineChars="100"/>
        <w:rPr>
          <w:rFonts w:ascii="方正小标宋_GBK" w:hAnsi="宋体" w:eastAsia="方正小标宋_GBK" w:cs="宋体"/>
          <w:b/>
          <w:bCs/>
          <w:color w:val="000000"/>
          <w:sz w:val="44"/>
          <w:szCs w:val="44"/>
        </w:rPr>
      </w:pPr>
      <w:r>
        <w:rPr>
          <w:rFonts w:ascii="等线" w:hAnsi="等线" w:eastAsia="等线" w:cs="等线"/>
          <w:kern w:val="2"/>
          <w:sz w:val="32"/>
          <w:szCs w:val="32"/>
          <w:lang w:val="en-US" w:eastAsia="zh-CN" w:bidi="ar-SA"/>
        </w:rPr>
        <w:pict>
          <v:line id="直线 9" o:spid="_x0000_s1028" o:spt="20" style="position:absolute;left:0pt;margin-left:6pt;margin-top:3.75pt;height:0.05pt;width:442.4pt;z-index:251660288;mso-width-relative:page;mso-height-relative:page;" fillcolor="#FFFFFF" filled="f" o:preferrelative="t" stroked="f" coordsize="21600,21600">
            <v:path arrowok="t"/>
            <v:fill on="f" color2="#FFFFFF" focussize="0,0"/>
            <v:stroke on="f"/>
            <v:imagedata gain="65536f" blacklevel="0f" gamma="0" o:title=""/>
            <o:lock v:ext="edit" position="f" selection="f" grouping="f" rotation="f" cropping="f" text="f" aspectratio="f"/>
          </v:line>
        </w:pict>
      </w:r>
      <w:r>
        <w:rPr>
          <w:rFonts w:ascii="等线" w:hAnsi="等线" w:eastAsia="等线" w:cs="等线"/>
          <w:kern w:val="2"/>
          <w:sz w:val="32"/>
          <w:szCs w:val="32"/>
          <w:lang w:val="en-US" w:eastAsia="zh-CN" w:bidi="ar-SA"/>
        </w:rPr>
        <w:pict>
          <v:line id="直线 10" o:spid="_x0000_s1029" o:spt="20" style="position:absolute;left:0pt;margin-left:-2.05pt;margin-top:0.35pt;height:0.05pt;width:461.8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ascii="等线" w:hAnsi="等线" w:eastAsia="等线" w:cs="等线"/>
          <w:kern w:val="2"/>
          <w:sz w:val="32"/>
          <w:szCs w:val="32"/>
          <w:lang w:val="en-US" w:eastAsia="zh-CN" w:bidi="ar-SA"/>
        </w:rPr>
        <w:pict>
          <v:line id="直线 11" o:spid="_x0000_s1030" o:spt="20" style="position:absolute;left:0pt;margin-left:-2.05pt;margin-top:25.25pt;height:0.05pt;width:461.8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eastAsia="仿宋_GB2312"/>
          <w:spacing w:val="-4"/>
          <w:sz w:val="32"/>
          <w:szCs w:val="32"/>
        </w:rPr>
        <w:t xml:space="preserve">青岛市人力资源和社会保障局办公室   </w:t>
      </w:r>
      <w:r>
        <w:rPr>
          <w:rFonts w:ascii="仿宋_GB2312" w:eastAsia="仿宋_GB2312"/>
          <w:spacing w:val="-4"/>
          <w:sz w:val="32"/>
          <w:szCs w:val="32"/>
        </w:rPr>
        <w:t>202</w:t>
      </w:r>
      <w:r>
        <w:rPr>
          <w:rFonts w:hint="eastAsia" w:ascii="仿宋_GB2312" w:eastAsia="仿宋_GB2312"/>
          <w:spacing w:val="-4"/>
          <w:sz w:val="32"/>
          <w:szCs w:val="32"/>
        </w:rPr>
        <w:t>1年4月</w:t>
      </w:r>
      <w:r>
        <w:rPr>
          <w:rFonts w:ascii="仿宋_GB2312" w:eastAsia="仿宋_GB2312"/>
          <w:spacing w:val="-4"/>
          <w:sz w:val="32"/>
          <w:szCs w:val="32"/>
        </w:rPr>
        <w:t>20</w:t>
      </w:r>
      <w:r>
        <w:rPr>
          <w:rFonts w:hint="eastAsia" w:ascii="仿宋_GB2312" w:eastAsia="仿宋_GB2312"/>
          <w:spacing w:val="-4"/>
          <w:sz w:val="32"/>
          <w:szCs w:val="32"/>
        </w:rPr>
        <w:t>日印</w:t>
      </w:r>
      <w:r>
        <w:rPr>
          <w:rFonts w:hint="eastAsia" w:ascii="仿宋_GB2312" w:eastAsia="仿宋_GB2312"/>
          <w:sz w:val="32"/>
          <w:szCs w:val="32"/>
        </w:rPr>
        <w:t>发</w:t>
      </w:r>
      <w:bookmarkStart w:id="0" w:name="OLE_LINK1"/>
      <w:bookmarkEnd w:id="0"/>
      <w:r>
        <w:rPr>
          <w:rFonts w:hint="eastAsia" w:ascii="仿宋_GB2312" w:eastAsia="仿宋_GB2312"/>
          <w:sz w:val="32"/>
          <w:szCs w:val="32"/>
        </w:rPr>
        <w:t xml:space="preserve">  </w:t>
      </w:r>
    </w:p>
    <w:sectPr>
      <w:footerReference r:id="rId3" w:type="default"/>
      <w:footerReference r:id="rId4" w:type="even"/>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华文中宋">
    <w:altName w:val="方正宋体S-超大字符集"/>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等线" w:hAnsi="等线" w:eastAsia="等线" w:cs="Times New Roman"/>
        <w:kern w:val="2"/>
        <w:sz w:val="18"/>
        <w:szCs w:val="18"/>
        <w:lang w:val="en-US" w:eastAsia="zh-CN" w:bidi="ar-SA"/>
      </w:rPr>
      <w:pict>
        <v:shape id="文本框 5" o:spid="_x0000_s2049"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Style w:val="10"/>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ascii="宋体" w:hAnsi="宋体" w:eastAsia="宋体" w:cs="宋体"/>
                    <w:sz w:val="28"/>
                    <w:szCs w:val="28"/>
                  </w:rPr>
                  <w:t>4</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14260"/>
    <w:rsid w:val="000257B6"/>
    <w:rsid w:val="00034DA5"/>
    <w:rsid w:val="00050D48"/>
    <w:rsid w:val="0005336E"/>
    <w:rsid w:val="0006716E"/>
    <w:rsid w:val="000E4543"/>
    <w:rsid w:val="000F16CC"/>
    <w:rsid w:val="00110834"/>
    <w:rsid w:val="00123C77"/>
    <w:rsid w:val="0013359C"/>
    <w:rsid w:val="00172A27"/>
    <w:rsid w:val="001B4079"/>
    <w:rsid w:val="001E0847"/>
    <w:rsid w:val="001E5F44"/>
    <w:rsid w:val="001F12BD"/>
    <w:rsid w:val="002142C6"/>
    <w:rsid w:val="0021499E"/>
    <w:rsid w:val="002359B1"/>
    <w:rsid w:val="00251323"/>
    <w:rsid w:val="00260AC2"/>
    <w:rsid w:val="00270D60"/>
    <w:rsid w:val="002735DD"/>
    <w:rsid w:val="002D609B"/>
    <w:rsid w:val="002E306C"/>
    <w:rsid w:val="002F3510"/>
    <w:rsid w:val="00302E2C"/>
    <w:rsid w:val="00305B27"/>
    <w:rsid w:val="00320477"/>
    <w:rsid w:val="003226C0"/>
    <w:rsid w:val="00333510"/>
    <w:rsid w:val="00334CB4"/>
    <w:rsid w:val="003400C2"/>
    <w:rsid w:val="003569FA"/>
    <w:rsid w:val="003710B2"/>
    <w:rsid w:val="003827EB"/>
    <w:rsid w:val="00385395"/>
    <w:rsid w:val="0038550B"/>
    <w:rsid w:val="003B37C1"/>
    <w:rsid w:val="003D3522"/>
    <w:rsid w:val="004219C0"/>
    <w:rsid w:val="004255F9"/>
    <w:rsid w:val="00461D40"/>
    <w:rsid w:val="00481721"/>
    <w:rsid w:val="004D140B"/>
    <w:rsid w:val="004E66AA"/>
    <w:rsid w:val="005016CE"/>
    <w:rsid w:val="005113CE"/>
    <w:rsid w:val="00531FB3"/>
    <w:rsid w:val="00536CB2"/>
    <w:rsid w:val="00595407"/>
    <w:rsid w:val="005A6298"/>
    <w:rsid w:val="006019FA"/>
    <w:rsid w:val="00626125"/>
    <w:rsid w:val="00633E12"/>
    <w:rsid w:val="006538B0"/>
    <w:rsid w:val="006575A2"/>
    <w:rsid w:val="00693CA7"/>
    <w:rsid w:val="006A365F"/>
    <w:rsid w:val="006A37B6"/>
    <w:rsid w:val="006A5FC6"/>
    <w:rsid w:val="006C55B9"/>
    <w:rsid w:val="006F3E48"/>
    <w:rsid w:val="0071369B"/>
    <w:rsid w:val="00793021"/>
    <w:rsid w:val="007A349E"/>
    <w:rsid w:val="007E595F"/>
    <w:rsid w:val="007E62AA"/>
    <w:rsid w:val="007F7C48"/>
    <w:rsid w:val="008137A3"/>
    <w:rsid w:val="0082565D"/>
    <w:rsid w:val="0083086A"/>
    <w:rsid w:val="00841366"/>
    <w:rsid w:val="00871849"/>
    <w:rsid w:val="008A1C24"/>
    <w:rsid w:val="008A5ECC"/>
    <w:rsid w:val="008B1494"/>
    <w:rsid w:val="008D28CF"/>
    <w:rsid w:val="00913835"/>
    <w:rsid w:val="009B6334"/>
    <w:rsid w:val="00A02466"/>
    <w:rsid w:val="00A273D1"/>
    <w:rsid w:val="00A30DA0"/>
    <w:rsid w:val="00A37B71"/>
    <w:rsid w:val="00A46F41"/>
    <w:rsid w:val="00A53BED"/>
    <w:rsid w:val="00A6056E"/>
    <w:rsid w:val="00A6502E"/>
    <w:rsid w:val="00A73F6D"/>
    <w:rsid w:val="00AA01CF"/>
    <w:rsid w:val="00AC7722"/>
    <w:rsid w:val="00AF3D1B"/>
    <w:rsid w:val="00AF4439"/>
    <w:rsid w:val="00B11392"/>
    <w:rsid w:val="00B17A70"/>
    <w:rsid w:val="00B348E2"/>
    <w:rsid w:val="00B35AB7"/>
    <w:rsid w:val="00B715B1"/>
    <w:rsid w:val="00B77BCA"/>
    <w:rsid w:val="00B838CD"/>
    <w:rsid w:val="00B92D44"/>
    <w:rsid w:val="00BA20FE"/>
    <w:rsid w:val="00BA359F"/>
    <w:rsid w:val="00BB0A5B"/>
    <w:rsid w:val="00BC3D2B"/>
    <w:rsid w:val="00BC6AAB"/>
    <w:rsid w:val="00BC74C1"/>
    <w:rsid w:val="00C0727B"/>
    <w:rsid w:val="00C35E64"/>
    <w:rsid w:val="00C628B6"/>
    <w:rsid w:val="00C7044B"/>
    <w:rsid w:val="00C711D6"/>
    <w:rsid w:val="00C77DDF"/>
    <w:rsid w:val="00CA753F"/>
    <w:rsid w:val="00D53629"/>
    <w:rsid w:val="00DC1405"/>
    <w:rsid w:val="00DC69EE"/>
    <w:rsid w:val="00E024B0"/>
    <w:rsid w:val="00E43C7A"/>
    <w:rsid w:val="00E50ABF"/>
    <w:rsid w:val="00E6313B"/>
    <w:rsid w:val="00E80A0D"/>
    <w:rsid w:val="00EA3743"/>
    <w:rsid w:val="00EC4A21"/>
    <w:rsid w:val="00ED6CB0"/>
    <w:rsid w:val="00F033E1"/>
    <w:rsid w:val="00F122F1"/>
    <w:rsid w:val="00F30E0A"/>
    <w:rsid w:val="00F32CC8"/>
    <w:rsid w:val="00F60348"/>
    <w:rsid w:val="00FC1D20"/>
    <w:rsid w:val="00FC6670"/>
    <w:rsid w:val="00FD4C44"/>
    <w:rsid w:val="00FD5471"/>
    <w:rsid w:val="00FD7FEE"/>
    <w:rsid w:val="00FF0C8E"/>
    <w:rsid w:val="016B4D07"/>
    <w:rsid w:val="017311EE"/>
    <w:rsid w:val="01B24556"/>
    <w:rsid w:val="01B245E8"/>
    <w:rsid w:val="01DC0C1D"/>
    <w:rsid w:val="021F298B"/>
    <w:rsid w:val="022B099C"/>
    <w:rsid w:val="02393535"/>
    <w:rsid w:val="025517E0"/>
    <w:rsid w:val="02931625"/>
    <w:rsid w:val="02BC4A08"/>
    <w:rsid w:val="02CF2517"/>
    <w:rsid w:val="02ED0A5A"/>
    <w:rsid w:val="02F8266E"/>
    <w:rsid w:val="02FF790E"/>
    <w:rsid w:val="030F4492"/>
    <w:rsid w:val="033835B9"/>
    <w:rsid w:val="034C42F7"/>
    <w:rsid w:val="03664EA1"/>
    <w:rsid w:val="03736735"/>
    <w:rsid w:val="038E05E4"/>
    <w:rsid w:val="03C6073D"/>
    <w:rsid w:val="03DC6164"/>
    <w:rsid w:val="03DF4013"/>
    <w:rsid w:val="040C0EB2"/>
    <w:rsid w:val="048765FD"/>
    <w:rsid w:val="0488627D"/>
    <w:rsid w:val="04A14C29"/>
    <w:rsid w:val="04A4232A"/>
    <w:rsid w:val="04BA44CE"/>
    <w:rsid w:val="04C57846"/>
    <w:rsid w:val="04D87301"/>
    <w:rsid w:val="04DF32BA"/>
    <w:rsid w:val="0523067A"/>
    <w:rsid w:val="052717FE"/>
    <w:rsid w:val="056A4671"/>
    <w:rsid w:val="058C4826"/>
    <w:rsid w:val="05A247CB"/>
    <w:rsid w:val="05C15080"/>
    <w:rsid w:val="05D4049D"/>
    <w:rsid w:val="05F54255"/>
    <w:rsid w:val="05F77758"/>
    <w:rsid w:val="061B4F2F"/>
    <w:rsid w:val="06572FF5"/>
    <w:rsid w:val="06AF6F07"/>
    <w:rsid w:val="06BF391E"/>
    <w:rsid w:val="072C64D0"/>
    <w:rsid w:val="077B1AD3"/>
    <w:rsid w:val="07883367"/>
    <w:rsid w:val="07A46E99"/>
    <w:rsid w:val="07C8711B"/>
    <w:rsid w:val="07D53466"/>
    <w:rsid w:val="07D721EC"/>
    <w:rsid w:val="07E55C5C"/>
    <w:rsid w:val="08043FB5"/>
    <w:rsid w:val="08154250"/>
    <w:rsid w:val="083E2E96"/>
    <w:rsid w:val="08B17B93"/>
    <w:rsid w:val="0923440D"/>
    <w:rsid w:val="095A48E7"/>
    <w:rsid w:val="0974768F"/>
    <w:rsid w:val="09837CAA"/>
    <w:rsid w:val="09886330"/>
    <w:rsid w:val="0997694A"/>
    <w:rsid w:val="09C87119"/>
    <w:rsid w:val="09E431C6"/>
    <w:rsid w:val="0A0F75AF"/>
    <w:rsid w:val="0A141797"/>
    <w:rsid w:val="0A1B49A5"/>
    <w:rsid w:val="0A241A31"/>
    <w:rsid w:val="0A4A63EE"/>
    <w:rsid w:val="0A6C7C27"/>
    <w:rsid w:val="0B156DBB"/>
    <w:rsid w:val="0B6D0ACF"/>
    <w:rsid w:val="0B765B5B"/>
    <w:rsid w:val="0B8528F2"/>
    <w:rsid w:val="0BD75542"/>
    <w:rsid w:val="0BEE6A9E"/>
    <w:rsid w:val="0BF254A5"/>
    <w:rsid w:val="0C024738"/>
    <w:rsid w:val="0C6008CA"/>
    <w:rsid w:val="0C6E19E0"/>
    <w:rsid w:val="0C822B95"/>
    <w:rsid w:val="0D591574"/>
    <w:rsid w:val="0D7067BA"/>
    <w:rsid w:val="0DD643C0"/>
    <w:rsid w:val="0DEA55DF"/>
    <w:rsid w:val="0E1B4EB5"/>
    <w:rsid w:val="0E224840"/>
    <w:rsid w:val="0E3A2737"/>
    <w:rsid w:val="0E9D0D02"/>
    <w:rsid w:val="0EC74FCE"/>
    <w:rsid w:val="0EE36E7C"/>
    <w:rsid w:val="0F2E01F5"/>
    <w:rsid w:val="0F773AEC"/>
    <w:rsid w:val="0F8E5C90"/>
    <w:rsid w:val="0F9A2DA7"/>
    <w:rsid w:val="0FA201B4"/>
    <w:rsid w:val="0FC33F6C"/>
    <w:rsid w:val="0FC906F1"/>
    <w:rsid w:val="0FED152D"/>
    <w:rsid w:val="101E3381"/>
    <w:rsid w:val="1032705F"/>
    <w:rsid w:val="1046543F"/>
    <w:rsid w:val="104D064D"/>
    <w:rsid w:val="104D284B"/>
    <w:rsid w:val="107F236E"/>
    <w:rsid w:val="10B050AB"/>
    <w:rsid w:val="10C5533A"/>
    <w:rsid w:val="10E862CD"/>
    <w:rsid w:val="10F90765"/>
    <w:rsid w:val="111A0C9A"/>
    <w:rsid w:val="111B419D"/>
    <w:rsid w:val="112203C1"/>
    <w:rsid w:val="1131248F"/>
    <w:rsid w:val="11491706"/>
    <w:rsid w:val="114C276E"/>
    <w:rsid w:val="117C54BB"/>
    <w:rsid w:val="11B71E1D"/>
    <w:rsid w:val="11C674C6"/>
    <w:rsid w:val="1219454E"/>
    <w:rsid w:val="122C565F"/>
    <w:rsid w:val="122D52DF"/>
    <w:rsid w:val="12317A3D"/>
    <w:rsid w:val="12355F6F"/>
    <w:rsid w:val="12500D17"/>
    <w:rsid w:val="1255519F"/>
    <w:rsid w:val="127F50E9"/>
    <w:rsid w:val="12C67A5C"/>
    <w:rsid w:val="12CE4E68"/>
    <w:rsid w:val="12E06408"/>
    <w:rsid w:val="12FC46B3"/>
    <w:rsid w:val="131320DA"/>
    <w:rsid w:val="132F2126"/>
    <w:rsid w:val="1345032A"/>
    <w:rsid w:val="13453BAE"/>
    <w:rsid w:val="13A43BC7"/>
    <w:rsid w:val="13C1400E"/>
    <w:rsid w:val="13F6014E"/>
    <w:rsid w:val="143A3A6A"/>
    <w:rsid w:val="14AE4079"/>
    <w:rsid w:val="14AF537E"/>
    <w:rsid w:val="14D20DB6"/>
    <w:rsid w:val="15297246"/>
    <w:rsid w:val="154148ED"/>
    <w:rsid w:val="15631CC8"/>
    <w:rsid w:val="158B5FE6"/>
    <w:rsid w:val="158C3A67"/>
    <w:rsid w:val="15C23F41"/>
    <w:rsid w:val="162F1261"/>
    <w:rsid w:val="16A44534"/>
    <w:rsid w:val="16F61559"/>
    <w:rsid w:val="170A014C"/>
    <w:rsid w:val="170E28DF"/>
    <w:rsid w:val="17442DB9"/>
    <w:rsid w:val="175C1D08"/>
    <w:rsid w:val="1862578F"/>
    <w:rsid w:val="187E50BF"/>
    <w:rsid w:val="18A43C7A"/>
    <w:rsid w:val="18D57CCC"/>
    <w:rsid w:val="194F4112"/>
    <w:rsid w:val="196C36C2"/>
    <w:rsid w:val="19815BE6"/>
    <w:rsid w:val="19C9185E"/>
    <w:rsid w:val="19D4436C"/>
    <w:rsid w:val="1A0B5B4A"/>
    <w:rsid w:val="1A7462BB"/>
    <w:rsid w:val="1A7A1D66"/>
    <w:rsid w:val="1A96572E"/>
    <w:rsid w:val="1ABD7B6C"/>
    <w:rsid w:val="1B3C5EBC"/>
    <w:rsid w:val="1B5D63F1"/>
    <w:rsid w:val="1B633B7D"/>
    <w:rsid w:val="1B7E4F1E"/>
    <w:rsid w:val="1BB15E7B"/>
    <w:rsid w:val="1BC00694"/>
    <w:rsid w:val="1BE3794F"/>
    <w:rsid w:val="1BF95265"/>
    <w:rsid w:val="1C2361BA"/>
    <w:rsid w:val="1C5048E5"/>
    <w:rsid w:val="1C5F4D1A"/>
    <w:rsid w:val="1C770C6E"/>
    <w:rsid w:val="1C7F3050"/>
    <w:rsid w:val="1CA03585"/>
    <w:rsid w:val="1CA36708"/>
    <w:rsid w:val="1CDF0382"/>
    <w:rsid w:val="1CF345F8"/>
    <w:rsid w:val="1D081CB0"/>
    <w:rsid w:val="1D120041"/>
    <w:rsid w:val="1D4D41EA"/>
    <w:rsid w:val="1D667ACB"/>
    <w:rsid w:val="1D7B41ED"/>
    <w:rsid w:val="1DB652CB"/>
    <w:rsid w:val="1DB84052"/>
    <w:rsid w:val="1DCF03F4"/>
    <w:rsid w:val="1DE94821"/>
    <w:rsid w:val="1E3A690A"/>
    <w:rsid w:val="1E7146F8"/>
    <w:rsid w:val="1E981141"/>
    <w:rsid w:val="1EB26468"/>
    <w:rsid w:val="1EFC55E3"/>
    <w:rsid w:val="1F181690"/>
    <w:rsid w:val="1F1C3919"/>
    <w:rsid w:val="1F3C7AED"/>
    <w:rsid w:val="1F905E56"/>
    <w:rsid w:val="1FA6387D"/>
    <w:rsid w:val="1FAF3176"/>
    <w:rsid w:val="1FCE593B"/>
    <w:rsid w:val="1FCF33BD"/>
    <w:rsid w:val="1FED5AB0"/>
    <w:rsid w:val="201B383C"/>
    <w:rsid w:val="206A35BB"/>
    <w:rsid w:val="209B3D8A"/>
    <w:rsid w:val="20B96BBD"/>
    <w:rsid w:val="20CD585E"/>
    <w:rsid w:val="20D6616D"/>
    <w:rsid w:val="20E40D06"/>
    <w:rsid w:val="21361A0A"/>
    <w:rsid w:val="213D6E16"/>
    <w:rsid w:val="2142329E"/>
    <w:rsid w:val="21436B21"/>
    <w:rsid w:val="21C65A76"/>
    <w:rsid w:val="21D21888"/>
    <w:rsid w:val="21D255E2"/>
    <w:rsid w:val="21E21B23"/>
    <w:rsid w:val="21E83A2C"/>
    <w:rsid w:val="221755FB"/>
    <w:rsid w:val="22301E6C"/>
    <w:rsid w:val="223573AF"/>
    <w:rsid w:val="2244413A"/>
    <w:rsid w:val="22551E62"/>
    <w:rsid w:val="22C10189"/>
    <w:rsid w:val="22F07AE2"/>
    <w:rsid w:val="23476330"/>
    <w:rsid w:val="235F2314"/>
    <w:rsid w:val="23603619"/>
    <w:rsid w:val="236751A2"/>
    <w:rsid w:val="23C81D43"/>
    <w:rsid w:val="23CD52D2"/>
    <w:rsid w:val="23E55A70"/>
    <w:rsid w:val="24140B3E"/>
    <w:rsid w:val="24482291"/>
    <w:rsid w:val="24525685"/>
    <w:rsid w:val="246266BF"/>
    <w:rsid w:val="24753161"/>
    <w:rsid w:val="24BA4B4F"/>
    <w:rsid w:val="24C155F7"/>
    <w:rsid w:val="25064D1C"/>
    <w:rsid w:val="250850A0"/>
    <w:rsid w:val="25156162"/>
    <w:rsid w:val="25446CB1"/>
    <w:rsid w:val="25544D4D"/>
    <w:rsid w:val="25593D47"/>
    <w:rsid w:val="255E785B"/>
    <w:rsid w:val="25AF7951"/>
    <w:rsid w:val="25D40B1F"/>
    <w:rsid w:val="25DA4C26"/>
    <w:rsid w:val="25F0537B"/>
    <w:rsid w:val="25FB735E"/>
    <w:rsid w:val="260F767F"/>
    <w:rsid w:val="262008F3"/>
    <w:rsid w:val="26210C1E"/>
    <w:rsid w:val="266B4515"/>
    <w:rsid w:val="26937C58"/>
    <w:rsid w:val="26B53690"/>
    <w:rsid w:val="26C174A2"/>
    <w:rsid w:val="26FC6002"/>
    <w:rsid w:val="27062195"/>
    <w:rsid w:val="272D45D3"/>
    <w:rsid w:val="275A1C1F"/>
    <w:rsid w:val="277933CE"/>
    <w:rsid w:val="278504E5"/>
    <w:rsid w:val="278946EB"/>
    <w:rsid w:val="27B53233"/>
    <w:rsid w:val="27D24D61"/>
    <w:rsid w:val="27E1537C"/>
    <w:rsid w:val="280F4BC6"/>
    <w:rsid w:val="2833607F"/>
    <w:rsid w:val="284A5CA4"/>
    <w:rsid w:val="28503ACC"/>
    <w:rsid w:val="28680AD8"/>
    <w:rsid w:val="28842606"/>
    <w:rsid w:val="28963BA5"/>
    <w:rsid w:val="28971627"/>
    <w:rsid w:val="28B732D7"/>
    <w:rsid w:val="28C433F0"/>
    <w:rsid w:val="28EE2036"/>
    <w:rsid w:val="29122691"/>
    <w:rsid w:val="29292A65"/>
    <w:rsid w:val="29377EAB"/>
    <w:rsid w:val="293F2D39"/>
    <w:rsid w:val="294B67B3"/>
    <w:rsid w:val="29765412"/>
    <w:rsid w:val="29C627C5"/>
    <w:rsid w:val="29CC3C22"/>
    <w:rsid w:val="29D222A8"/>
    <w:rsid w:val="2A63541A"/>
    <w:rsid w:val="2A652B1C"/>
    <w:rsid w:val="2A755335"/>
    <w:rsid w:val="2A9A5574"/>
    <w:rsid w:val="2A9B7773"/>
    <w:rsid w:val="2AB17718"/>
    <w:rsid w:val="2AD51ED6"/>
    <w:rsid w:val="2AE930F5"/>
    <w:rsid w:val="2B0451E5"/>
    <w:rsid w:val="2B085BA8"/>
    <w:rsid w:val="2B1044E5"/>
    <w:rsid w:val="2B1179DC"/>
    <w:rsid w:val="2B2C7062"/>
    <w:rsid w:val="2B3653F3"/>
    <w:rsid w:val="2B75075B"/>
    <w:rsid w:val="2BDD5702"/>
    <w:rsid w:val="2BFD1938"/>
    <w:rsid w:val="2C006140"/>
    <w:rsid w:val="2C1063DB"/>
    <w:rsid w:val="2CB66B69"/>
    <w:rsid w:val="2D175908"/>
    <w:rsid w:val="2D1A688D"/>
    <w:rsid w:val="2D2D7AAC"/>
    <w:rsid w:val="2D68440E"/>
    <w:rsid w:val="2D6C7591"/>
    <w:rsid w:val="2D703A18"/>
    <w:rsid w:val="2DA07DEB"/>
    <w:rsid w:val="2DA92C79"/>
    <w:rsid w:val="2DD724C3"/>
    <w:rsid w:val="2DEF7B6A"/>
    <w:rsid w:val="2E365D60"/>
    <w:rsid w:val="2E4F0C77"/>
    <w:rsid w:val="2E5F36A1"/>
    <w:rsid w:val="2E986CFE"/>
    <w:rsid w:val="2E997972"/>
    <w:rsid w:val="2ED56B63"/>
    <w:rsid w:val="2EF85E1E"/>
    <w:rsid w:val="2EF9389F"/>
    <w:rsid w:val="2F30691D"/>
    <w:rsid w:val="2F7C05F5"/>
    <w:rsid w:val="2F992124"/>
    <w:rsid w:val="2FB3074F"/>
    <w:rsid w:val="2FC17A65"/>
    <w:rsid w:val="302C2998"/>
    <w:rsid w:val="30683E50"/>
    <w:rsid w:val="30BF7988"/>
    <w:rsid w:val="30C74D94"/>
    <w:rsid w:val="30D5792D"/>
    <w:rsid w:val="30FC166B"/>
    <w:rsid w:val="310E2F8A"/>
    <w:rsid w:val="31603C8E"/>
    <w:rsid w:val="31650116"/>
    <w:rsid w:val="319F6FF6"/>
    <w:rsid w:val="31C97E3A"/>
    <w:rsid w:val="31D729D3"/>
    <w:rsid w:val="32165D3B"/>
    <w:rsid w:val="323B6E74"/>
    <w:rsid w:val="327E55BA"/>
    <w:rsid w:val="328B5FA1"/>
    <w:rsid w:val="32DE16EA"/>
    <w:rsid w:val="32FA3A2F"/>
    <w:rsid w:val="330246BF"/>
    <w:rsid w:val="33401FA5"/>
    <w:rsid w:val="33417CCE"/>
    <w:rsid w:val="334409AC"/>
    <w:rsid w:val="33D06D1D"/>
    <w:rsid w:val="33D25C91"/>
    <w:rsid w:val="33E62733"/>
    <w:rsid w:val="340145E2"/>
    <w:rsid w:val="342E2B27"/>
    <w:rsid w:val="343A43BC"/>
    <w:rsid w:val="348C0943"/>
    <w:rsid w:val="34CE3B39"/>
    <w:rsid w:val="34E60B1C"/>
    <w:rsid w:val="34F934F5"/>
    <w:rsid w:val="35085D0E"/>
    <w:rsid w:val="35471076"/>
    <w:rsid w:val="355B5B18"/>
    <w:rsid w:val="3574290A"/>
    <w:rsid w:val="357C3ACE"/>
    <w:rsid w:val="35840EDB"/>
    <w:rsid w:val="358C62E7"/>
    <w:rsid w:val="35A04F88"/>
    <w:rsid w:val="35B140FC"/>
    <w:rsid w:val="35F47FE7"/>
    <w:rsid w:val="360175AB"/>
    <w:rsid w:val="36923616"/>
    <w:rsid w:val="3696421B"/>
    <w:rsid w:val="36AB6DDA"/>
    <w:rsid w:val="37083255"/>
    <w:rsid w:val="3709455A"/>
    <w:rsid w:val="370F6463"/>
    <w:rsid w:val="37371BA6"/>
    <w:rsid w:val="37591D5A"/>
    <w:rsid w:val="375D0761"/>
    <w:rsid w:val="37666E72"/>
    <w:rsid w:val="37F976E5"/>
    <w:rsid w:val="380D6386"/>
    <w:rsid w:val="38550CF9"/>
    <w:rsid w:val="38BC19A2"/>
    <w:rsid w:val="38C138AB"/>
    <w:rsid w:val="392F7762"/>
    <w:rsid w:val="394159B9"/>
    <w:rsid w:val="397C3FDE"/>
    <w:rsid w:val="39993146"/>
    <w:rsid w:val="39BA6041"/>
    <w:rsid w:val="39FD3633"/>
    <w:rsid w:val="3A143258"/>
    <w:rsid w:val="3A317416"/>
    <w:rsid w:val="3A564FC6"/>
    <w:rsid w:val="3A6058D6"/>
    <w:rsid w:val="3A8D769E"/>
    <w:rsid w:val="3A904DA0"/>
    <w:rsid w:val="3A9838AA"/>
    <w:rsid w:val="3A9E1A8D"/>
    <w:rsid w:val="3AAE7BD3"/>
    <w:rsid w:val="3AF90F4C"/>
    <w:rsid w:val="3B2D1F46"/>
    <w:rsid w:val="3B881739"/>
    <w:rsid w:val="3BE030C3"/>
    <w:rsid w:val="3BE63153"/>
    <w:rsid w:val="3C13079F"/>
    <w:rsid w:val="3C2F0FC9"/>
    <w:rsid w:val="3CB834AB"/>
    <w:rsid w:val="3CEF5444"/>
    <w:rsid w:val="3CF86493"/>
    <w:rsid w:val="3D0F3EBA"/>
    <w:rsid w:val="3D28724E"/>
    <w:rsid w:val="3D7725E5"/>
    <w:rsid w:val="3D8B1285"/>
    <w:rsid w:val="3DBF29D9"/>
    <w:rsid w:val="3DC9018F"/>
    <w:rsid w:val="3DF379B0"/>
    <w:rsid w:val="3DF876BB"/>
    <w:rsid w:val="3E24017F"/>
    <w:rsid w:val="3E2B558B"/>
    <w:rsid w:val="3E2E4312"/>
    <w:rsid w:val="3E36391C"/>
    <w:rsid w:val="3E6D7763"/>
    <w:rsid w:val="3E8B46AB"/>
    <w:rsid w:val="3EAD2CB9"/>
    <w:rsid w:val="3EB709F3"/>
    <w:rsid w:val="3EC71450"/>
    <w:rsid w:val="3EED5649"/>
    <w:rsid w:val="3F106AF3"/>
    <w:rsid w:val="3F7B5817"/>
    <w:rsid w:val="3F896B4D"/>
    <w:rsid w:val="3F8D5A7E"/>
    <w:rsid w:val="3FAF5707"/>
    <w:rsid w:val="3FFD7ED7"/>
    <w:rsid w:val="401979A4"/>
    <w:rsid w:val="401C02BA"/>
    <w:rsid w:val="40336B32"/>
    <w:rsid w:val="40395070"/>
    <w:rsid w:val="403F4A1C"/>
    <w:rsid w:val="407123B7"/>
    <w:rsid w:val="407654D0"/>
    <w:rsid w:val="408E2B77"/>
    <w:rsid w:val="40DD6179"/>
    <w:rsid w:val="418A7597"/>
    <w:rsid w:val="41916F22"/>
    <w:rsid w:val="41DC21A5"/>
    <w:rsid w:val="41ED5FB7"/>
    <w:rsid w:val="424853CC"/>
    <w:rsid w:val="425A43EC"/>
    <w:rsid w:val="42733525"/>
    <w:rsid w:val="427B4921"/>
    <w:rsid w:val="4285742F"/>
    <w:rsid w:val="42DE6BC4"/>
    <w:rsid w:val="42E5074D"/>
    <w:rsid w:val="42E57B35"/>
    <w:rsid w:val="433C6F5D"/>
    <w:rsid w:val="43605E98"/>
    <w:rsid w:val="43610097"/>
    <w:rsid w:val="43713BB4"/>
    <w:rsid w:val="438764D2"/>
    <w:rsid w:val="43C071B6"/>
    <w:rsid w:val="43DC3263"/>
    <w:rsid w:val="43F32C9E"/>
    <w:rsid w:val="43F63E0D"/>
    <w:rsid w:val="44314EEC"/>
    <w:rsid w:val="44540F74"/>
    <w:rsid w:val="446C184E"/>
    <w:rsid w:val="44890DFE"/>
    <w:rsid w:val="44E759A0"/>
    <w:rsid w:val="44F078A8"/>
    <w:rsid w:val="453542EC"/>
    <w:rsid w:val="45433AAF"/>
    <w:rsid w:val="455C584B"/>
    <w:rsid w:val="45636562"/>
    <w:rsid w:val="45986DBD"/>
    <w:rsid w:val="45D83C76"/>
    <w:rsid w:val="45F10750"/>
    <w:rsid w:val="46621D09"/>
    <w:rsid w:val="46783EAC"/>
    <w:rsid w:val="46810B9F"/>
    <w:rsid w:val="468F3AD1"/>
    <w:rsid w:val="469B13C4"/>
    <w:rsid w:val="46FD6304"/>
    <w:rsid w:val="474038F5"/>
    <w:rsid w:val="476A6CB8"/>
    <w:rsid w:val="47752ACA"/>
    <w:rsid w:val="477B56CB"/>
    <w:rsid w:val="477E5958"/>
    <w:rsid w:val="4795557D"/>
    <w:rsid w:val="479D620D"/>
    <w:rsid w:val="47A61F52"/>
    <w:rsid w:val="47CA7FD6"/>
    <w:rsid w:val="47F75622"/>
    <w:rsid w:val="47FF2A2E"/>
    <w:rsid w:val="48472E23"/>
    <w:rsid w:val="48617250"/>
    <w:rsid w:val="488B4811"/>
    <w:rsid w:val="488C47ED"/>
    <w:rsid w:val="4890451C"/>
    <w:rsid w:val="48B06FCF"/>
    <w:rsid w:val="48B53457"/>
    <w:rsid w:val="48B843DB"/>
    <w:rsid w:val="48C17269"/>
    <w:rsid w:val="48F37BE7"/>
    <w:rsid w:val="490B53E3"/>
    <w:rsid w:val="49D04EA8"/>
    <w:rsid w:val="49D35E2D"/>
    <w:rsid w:val="49E515CA"/>
    <w:rsid w:val="49EB34D3"/>
    <w:rsid w:val="4A7843BC"/>
    <w:rsid w:val="4AB9759B"/>
    <w:rsid w:val="4ABC3BAC"/>
    <w:rsid w:val="4B0574A3"/>
    <w:rsid w:val="4B473790"/>
    <w:rsid w:val="4B4F2D9B"/>
    <w:rsid w:val="4B51409F"/>
    <w:rsid w:val="4BC507DB"/>
    <w:rsid w:val="4BD50615"/>
    <w:rsid w:val="4C1053D7"/>
    <w:rsid w:val="4C39659B"/>
    <w:rsid w:val="4C5D32D8"/>
    <w:rsid w:val="4C9978BA"/>
    <w:rsid w:val="4CAD655A"/>
    <w:rsid w:val="4CBB10F3"/>
    <w:rsid w:val="4CBC32F1"/>
    <w:rsid w:val="4CC306FE"/>
    <w:rsid w:val="4CD751A0"/>
    <w:rsid w:val="4D8E6ECD"/>
    <w:rsid w:val="4D9642D9"/>
    <w:rsid w:val="4DBF18AA"/>
    <w:rsid w:val="4DC45D22"/>
    <w:rsid w:val="4DCF7936"/>
    <w:rsid w:val="4DE07BD1"/>
    <w:rsid w:val="4E112236"/>
    <w:rsid w:val="4EA9509B"/>
    <w:rsid w:val="4EDC0D6D"/>
    <w:rsid w:val="4EE02FF7"/>
    <w:rsid w:val="4F3A498A"/>
    <w:rsid w:val="4F537AB2"/>
    <w:rsid w:val="4F7C66F8"/>
    <w:rsid w:val="4F820602"/>
    <w:rsid w:val="4F867008"/>
    <w:rsid w:val="4FB30DD1"/>
    <w:rsid w:val="4FCF4E7E"/>
    <w:rsid w:val="4FF053B2"/>
    <w:rsid w:val="500130CE"/>
    <w:rsid w:val="50452CFA"/>
    <w:rsid w:val="505C5D66"/>
    <w:rsid w:val="508D6535"/>
    <w:rsid w:val="50A0702B"/>
    <w:rsid w:val="50A925E2"/>
    <w:rsid w:val="50C75416"/>
    <w:rsid w:val="51045713"/>
    <w:rsid w:val="51162C16"/>
    <w:rsid w:val="51442461"/>
    <w:rsid w:val="514F07F2"/>
    <w:rsid w:val="515561D0"/>
    <w:rsid w:val="515A2406"/>
    <w:rsid w:val="517B03BC"/>
    <w:rsid w:val="517B61BE"/>
    <w:rsid w:val="51825B49"/>
    <w:rsid w:val="51A84704"/>
    <w:rsid w:val="51B672E0"/>
    <w:rsid w:val="52077FA0"/>
    <w:rsid w:val="5219373E"/>
    <w:rsid w:val="521C46C2"/>
    <w:rsid w:val="52251CC4"/>
    <w:rsid w:val="5228505D"/>
    <w:rsid w:val="522F7BCA"/>
    <w:rsid w:val="52455887"/>
    <w:rsid w:val="52687D1E"/>
    <w:rsid w:val="527A02DF"/>
    <w:rsid w:val="52842DED"/>
    <w:rsid w:val="52BE5550"/>
    <w:rsid w:val="52C85E60"/>
    <w:rsid w:val="52E439A8"/>
    <w:rsid w:val="52E80913"/>
    <w:rsid w:val="53124FDB"/>
    <w:rsid w:val="53192761"/>
    <w:rsid w:val="53342F91"/>
    <w:rsid w:val="53627DE2"/>
    <w:rsid w:val="537D0E07"/>
    <w:rsid w:val="539632E5"/>
    <w:rsid w:val="53A9514E"/>
    <w:rsid w:val="53F01145"/>
    <w:rsid w:val="54140080"/>
    <w:rsid w:val="5445084F"/>
    <w:rsid w:val="54511874"/>
    <w:rsid w:val="54722618"/>
    <w:rsid w:val="54A808F4"/>
    <w:rsid w:val="54F476EE"/>
    <w:rsid w:val="550B7314"/>
    <w:rsid w:val="550D2817"/>
    <w:rsid w:val="5591602C"/>
    <w:rsid w:val="559417F6"/>
    <w:rsid w:val="55E524FA"/>
    <w:rsid w:val="564A5AA2"/>
    <w:rsid w:val="56773FE7"/>
    <w:rsid w:val="56B363CB"/>
    <w:rsid w:val="56D51E02"/>
    <w:rsid w:val="56F65BBA"/>
    <w:rsid w:val="571B3D97"/>
    <w:rsid w:val="575012E8"/>
    <w:rsid w:val="57643691"/>
    <w:rsid w:val="576E6AFE"/>
    <w:rsid w:val="57783777"/>
    <w:rsid w:val="57936D3D"/>
    <w:rsid w:val="57987942"/>
    <w:rsid w:val="57991722"/>
    <w:rsid w:val="57D40E5B"/>
    <w:rsid w:val="57DD0436"/>
    <w:rsid w:val="580D170F"/>
    <w:rsid w:val="58163A93"/>
    <w:rsid w:val="581813ED"/>
    <w:rsid w:val="582C5670"/>
    <w:rsid w:val="58473F79"/>
    <w:rsid w:val="587B1239"/>
    <w:rsid w:val="58967865"/>
    <w:rsid w:val="589752E6"/>
    <w:rsid w:val="58AB3F87"/>
    <w:rsid w:val="59442E81"/>
    <w:rsid w:val="595B08A7"/>
    <w:rsid w:val="5967329F"/>
    <w:rsid w:val="59747253"/>
    <w:rsid w:val="59886CC8"/>
    <w:rsid w:val="59EE111B"/>
    <w:rsid w:val="5A305C1C"/>
    <w:rsid w:val="5A451B2A"/>
    <w:rsid w:val="5A4E4333"/>
    <w:rsid w:val="5A5907CA"/>
    <w:rsid w:val="5A72738E"/>
    <w:rsid w:val="5A864B12"/>
    <w:rsid w:val="5AC94301"/>
    <w:rsid w:val="5AE34EAB"/>
    <w:rsid w:val="5AE91CA9"/>
    <w:rsid w:val="5B243716"/>
    <w:rsid w:val="5B7E72A8"/>
    <w:rsid w:val="5BAC5AEB"/>
    <w:rsid w:val="5BC86423"/>
    <w:rsid w:val="5BF55FED"/>
    <w:rsid w:val="5BF65C6D"/>
    <w:rsid w:val="5C1902F8"/>
    <w:rsid w:val="5C1A7126"/>
    <w:rsid w:val="5C304B4D"/>
    <w:rsid w:val="5C5E63A5"/>
    <w:rsid w:val="5CA93512"/>
    <w:rsid w:val="5D8A1907"/>
    <w:rsid w:val="5DA96938"/>
    <w:rsid w:val="5DC8396A"/>
    <w:rsid w:val="5DD87487"/>
    <w:rsid w:val="5DE12315"/>
    <w:rsid w:val="5DE24514"/>
    <w:rsid w:val="5DF32230"/>
    <w:rsid w:val="5E1849EE"/>
    <w:rsid w:val="5E3F076C"/>
    <w:rsid w:val="5E5F4D70"/>
    <w:rsid w:val="5E872AA3"/>
    <w:rsid w:val="5E885FA6"/>
    <w:rsid w:val="5EA10069"/>
    <w:rsid w:val="5EAA2AAA"/>
    <w:rsid w:val="5EBB7A7A"/>
    <w:rsid w:val="5ECF2E97"/>
    <w:rsid w:val="5EDF69B5"/>
    <w:rsid w:val="5EE85FC0"/>
    <w:rsid w:val="5F0E1A83"/>
    <w:rsid w:val="5F236FC6"/>
    <w:rsid w:val="5F2B2A6A"/>
    <w:rsid w:val="5F450227"/>
    <w:rsid w:val="5F517BED"/>
    <w:rsid w:val="5F7F5239"/>
    <w:rsid w:val="5FA00FF1"/>
    <w:rsid w:val="5FA479F8"/>
    <w:rsid w:val="5FD614CB"/>
    <w:rsid w:val="5FD76D42"/>
    <w:rsid w:val="5FEB236A"/>
    <w:rsid w:val="5FF35045"/>
    <w:rsid w:val="60503394"/>
    <w:rsid w:val="608340EF"/>
    <w:rsid w:val="60A00B94"/>
    <w:rsid w:val="60A73DA2"/>
    <w:rsid w:val="60C223CE"/>
    <w:rsid w:val="60E76D8A"/>
    <w:rsid w:val="60E8480C"/>
    <w:rsid w:val="611C6998"/>
    <w:rsid w:val="614E689C"/>
    <w:rsid w:val="615109B8"/>
    <w:rsid w:val="61782DF6"/>
    <w:rsid w:val="61894395"/>
    <w:rsid w:val="62367D31"/>
    <w:rsid w:val="628B743B"/>
    <w:rsid w:val="62B85E23"/>
    <w:rsid w:val="62BC6B87"/>
    <w:rsid w:val="62CE11A9"/>
    <w:rsid w:val="630F7A14"/>
    <w:rsid w:val="63421592"/>
    <w:rsid w:val="63497175"/>
    <w:rsid w:val="63DD3565"/>
    <w:rsid w:val="6412273A"/>
    <w:rsid w:val="644D709C"/>
    <w:rsid w:val="64577B0A"/>
    <w:rsid w:val="646E2E54"/>
    <w:rsid w:val="64A66831"/>
    <w:rsid w:val="65357399"/>
    <w:rsid w:val="653A12A3"/>
    <w:rsid w:val="65526949"/>
    <w:rsid w:val="6579460B"/>
    <w:rsid w:val="658713A2"/>
    <w:rsid w:val="65BA1A3B"/>
    <w:rsid w:val="65D45C1E"/>
    <w:rsid w:val="65EA5BC3"/>
    <w:rsid w:val="65EB0CEA"/>
    <w:rsid w:val="65EC10C6"/>
    <w:rsid w:val="65FC38C8"/>
    <w:rsid w:val="6619508D"/>
    <w:rsid w:val="662815EE"/>
    <w:rsid w:val="66C1162A"/>
    <w:rsid w:val="66EE416C"/>
    <w:rsid w:val="6777084D"/>
    <w:rsid w:val="678C738E"/>
    <w:rsid w:val="67995C99"/>
    <w:rsid w:val="679C7788"/>
    <w:rsid w:val="67D81B6B"/>
    <w:rsid w:val="67D975ED"/>
    <w:rsid w:val="67E31201"/>
    <w:rsid w:val="68105548"/>
    <w:rsid w:val="68195E58"/>
    <w:rsid w:val="683E4D93"/>
    <w:rsid w:val="684447DC"/>
    <w:rsid w:val="68754EED"/>
    <w:rsid w:val="68765B8A"/>
    <w:rsid w:val="6889198F"/>
    <w:rsid w:val="689D3EB3"/>
    <w:rsid w:val="68C2756A"/>
    <w:rsid w:val="68C97DD7"/>
    <w:rsid w:val="69526E59"/>
    <w:rsid w:val="69A1245C"/>
    <w:rsid w:val="69D770B2"/>
    <w:rsid w:val="69E02BF7"/>
    <w:rsid w:val="69EB3B55"/>
    <w:rsid w:val="6A254C33"/>
    <w:rsid w:val="6A3A7157"/>
    <w:rsid w:val="6A4C28F4"/>
    <w:rsid w:val="6A6273A4"/>
    <w:rsid w:val="6A7449B2"/>
    <w:rsid w:val="6A752434"/>
    <w:rsid w:val="6A7B433D"/>
    <w:rsid w:val="6A9B1164"/>
    <w:rsid w:val="6AB11188"/>
    <w:rsid w:val="6AB132E9"/>
    <w:rsid w:val="6AD050CC"/>
    <w:rsid w:val="6B00369D"/>
    <w:rsid w:val="6B1D1948"/>
    <w:rsid w:val="6B260059"/>
    <w:rsid w:val="6B570828"/>
    <w:rsid w:val="6B6555BF"/>
    <w:rsid w:val="6B7E0F78"/>
    <w:rsid w:val="6BAA0E84"/>
    <w:rsid w:val="6BEA5819"/>
    <w:rsid w:val="6C2F630D"/>
    <w:rsid w:val="6C791C04"/>
    <w:rsid w:val="6CA32A49"/>
    <w:rsid w:val="6CEE7645"/>
    <w:rsid w:val="6D2B3C26"/>
    <w:rsid w:val="6DA822F6"/>
    <w:rsid w:val="6E341EDA"/>
    <w:rsid w:val="6E632A2A"/>
    <w:rsid w:val="6EB724B4"/>
    <w:rsid w:val="6ED576C6"/>
    <w:rsid w:val="6ED77165"/>
    <w:rsid w:val="6F0F1535"/>
    <w:rsid w:val="6F655ACF"/>
    <w:rsid w:val="6F766F6A"/>
    <w:rsid w:val="6F7B34F6"/>
    <w:rsid w:val="6F8D4D6E"/>
    <w:rsid w:val="6F95081D"/>
    <w:rsid w:val="6FA06BAE"/>
    <w:rsid w:val="6FC62671"/>
    <w:rsid w:val="6FF51B3B"/>
    <w:rsid w:val="702B1427"/>
    <w:rsid w:val="708D0DB5"/>
    <w:rsid w:val="70940740"/>
    <w:rsid w:val="70B7547C"/>
    <w:rsid w:val="70E701CA"/>
    <w:rsid w:val="713161E9"/>
    <w:rsid w:val="715352FB"/>
    <w:rsid w:val="71C468B3"/>
    <w:rsid w:val="71E82D4D"/>
    <w:rsid w:val="720F7C2C"/>
    <w:rsid w:val="726A4AC3"/>
    <w:rsid w:val="729B6917"/>
    <w:rsid w:val="72A02D9E"/>
    <w:rsid w:val="72AA58AC"/>
    <w:rsid w:val="72C806E0"/>
    <w:rsid w:val="72D92B78"/>
    <w:rsid w:val="732E3907"/>
    <w:rsid w:val="73337D8F"/>
    <w:rsid w:val="737E6A74"/>
    <w:rsid w:val="73AF515A"/>
    <w:rsid w:val="73E133AB"/>
    <w:rsid w:val="73FA42D5"/>
    <w:rsid w:val="740003DC"/>
    <w:rsid w:val="742C1067"/>
    <w:rsid w:val="748D12C5"/>
    <w:rsid w:val="749B605C"/>
    <w:rsid w:val="74B67F0B"/>
    <w:rsid w:val="74CB061F"/>
    <w:rsid w:val="74F21427"/>
    <w:rsid w:val="7510189E"/>
    <w:rsid w:val="751A21AE"/>
    <w:rsid w:val="758075D4"/>
    <w:rsid w:val="75A73D7F"/>
    <w:rsid w:val="75AF26A1"/>
    <w:rsid w:val="76091AB6"/>
    <w:rsid w:val="761323C6"/>
    <w:rsid w:val="768B1EF6"/>
    <w:rsid w:val="76A209B0"/>
    <w:rsid w:val="76BA7E8C"/>
    <w:rsid w:val="77027AD0"/>
    <w:rsid w:val="772C540C"/>
    <w:rsid w:val="77594C5B"/>
    <w:rsid w:val="77651D73"/>
    <w:rsid w:val="776D3587"/>
    <w:rsid w:val="777C3F16"/>
    <w:rsid w:val="777E5012"/>
    <w:rsid w:val="7789322C"/>
    <w:rsid w:val="77BB147D"/>
    <w:rsid w:val="77C36889"/>
    <w:rsid w:val="77DF61B9"/>
    <w:rsid w:val="77F11C00"/>
    <w:rsid w:val="77F83726"/>
    <w:rsid w:val="77FF7F57"/>
    <w:rsid w:val="780472F2"/>
    <w:rsid w:val="7826619A"/>
    <w:rsid w:val="7862510D"/>
    <w:rsid w:val="78747E29"/>
    <w:rsid w:val="79055F9C"/>
    <w:rsid w:val="79063A1D"/>
    <w:rsid w:val="791E32C2"/>
    <w:rsid w:val="796643A0"/>
    <w:rsid w:val="79936B04"/>
    <w:rsid w:val="79B9611E"/>
    <w:rsid w:val="79E72D0B"/>
    <w:rsid w:val="79F1491F"/>
    <w:rsid w:val="7A622655"/>
    <w:rsid w:val="7A7423CC"/>
    <w:rsid w:val="7A7570F7"/>
    <w:rsid w:val="7A9863B2"/>
    <w:rsid w:val="7AA656C8"/>
    <w:rsid w:val="7B050F64"/>
    <w:rsid w:val="7B081504"/>
    <w:rsid w:val="7B1310A9"/>
    <w:rsid w:val="7B5A2BED"/>
    <w:rsid w:val="7B5B2071"/>
    <w:rsid w:val="7B625A7B"/>
    <w:rsid w:val="7B743797"/>
    <w:rsid w:val="7B7B0BA3"/>
    <w:rsid w:val="7B823DB1"/>
    <w:rsid w:val="7BC3261C"/>
    <w:rsid w:val="7BC86AA4"/>
    <w:rsid w:val="7C2F194B"/>
    <w:rsid w:val="7C314E4E"/>
    <w:rsid w:val="7C4B37FA"/>
    <w:rsid w:val="7C6B3D2F"/>
    <w:rsid w:val="7C6D7232"/>
    <w:rsid w:val="7C7E26E8"/>
    <w:rsid w:val="7C9603F6"/>
    <w:rsid w:val="7CB00273"/>
    <w:rsid w:val="7CB479A6"/>
    <w:rsid w:val="7CD36BD6"/>
    <w:rsid w:val="7CD62A65"/>
    <w:rsid w:val="7D042C28"/>
    <w:rsid w:val="7D0614AF"/>
    <w:rsid w:val="7D9F5025"/>
    <w:rsid w:val="7DDD618F"/>
    <w:rsid w:val="7E6D4779"/>
    <w:rsid w:val="7E811D99"/>
    <w:rsid w:val="7EA959B4"/>
    <w:rsid w:val="7EB738F3"/>
    <w:rsid w:val="7F1D3298"/>
    <w:rsid w:val="7F3B60CB"/>
    <w:rsid w:val="7F4D1868"/>
    <w:rsid w:val="7F5F2E08"/>
    <w:rsid w:val="7F837EC1"/>
    <w:rsid w:val="7F882947"/>
    <w:rsid w:val="7F941FDD"/>
    <w:rsid w:val="7F990663"/>
    <w:rsid w:val="7FBA441B"/>
    <w:rsid w:val="7FBA7C9E"/>
    <w:rsid w:val="7FD604C8"/>
    <w:rsid w:val="7FE60762"/>
    <w:rsid w:val="7FF31FF6"/>
    <w:rsid w:val="7FFD0387"/>
    <w:rsid w:val="ABFB8953"/>
    <w:rsid w:val="F7FF0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7"/>
    <w:qFormat/>
    <w:uiPriority w:val="0"/>
    <w:pPr>
      <w:spacing w:after="120"/>
      <w:ind w:left="420" w:leftChars="200"/>
    </w:pPr>
  </w:style>
  <w:style w:type="paragraph" w:styleId="3">
    <w:name w:val="Date"/>
    <w:basedOn w:val="1"/>
    <w:next w:val="1"/>
    <w:link w:val="18"/>
    <w:qFormat/>
    <w:uiPriority w:val="0"/>
    <w:pPr>
      <w:ind w:left="100" w:leftChars="2500"/>
    </w:pPr>
  </w:style>
  <w:style w:type="paragraph" w:styleId="4">
    <w:name w:val="footer"/>
    <w:basedOn w:val="1"/>
    <w:link w:val="16"/>
    <w:qFormat/>
    <w:uiPriority w:val="0"/>
    <w:pPr>
      <w:tabs>
        <w:tab w:val="center" w:pos="4153"/>
        <w:tab w:val="right" w:pos="8306"/>
      </w:tabs>
      <w:snapToGrid w:val="0"/>
      <w:jc w:val="left"/>
    </w:pPr>
    <w:rPr>
      <w:rFonts w:cs="Times New Roman"/>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6">
    <w:name w:val="toc 1"/>
    <w:basedOn w:val="1"/>
    <w:next w:val="1"/>
    <w:qFormat/>
    <w:uiPriority w:val="0"/>
    <w:pPr>
      <w:snapToGrid w:val="0"/>
      <w:spacing w:line="640" w:lineRule="exact"/>
      <w:ind w:firstLine="705"/>
    </w:pPr>
    <w:rPr>
      <w:rFonts w:ascii="仿宋_GB2312" w:hAnsi="Calibri" w:eastAsia="仿宋_GB2312"/>
      <w:color w:val="000000"/>
      <w:sz w:val="36"/>
      <w:szCs w:val="36"/>
    </w:rPr>
  </w:style>
  <w:style w:type="paragraph" w:styleId="7">
    <w:name w:val="footnote text"/>
    <w:basedOn w:val="1"/>
    <w:qFormat/>
    <w:uiPriority w:val="0"/>
    <w:pPr>
      <w:snapToGrid w:val="0"/>
      <w:jc w:val="left"/>
    </w:pPr>
    <w:rPr>
      <w:rFonts w:ascii="Calibri" w:hAnsi="Calibri" w:eastAsia="宋体" w:cs="宋体"/>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0">
    <w:name w:val="page number"/>
    <w:basedOn w:val="9"/>
    <w:qFormat/>
    <w:uiPriority w:val="0"/>
  </w:style>
  <w:style w:type="paragraph" w:customStyle="1" w:styleId="12">
    <w:name w:val="Char Char Char Char Char Char Char"/>
    <w:basedOn w:val="1"/>
    <w:qFormat/>
    <w:uiPriority w:val="0"/>
    <w:rPr>
      <w:rFonts w:ascii="Times New Roman" w:hAnsi="Times New Roman" w:eastAsia="宋体" w:cs="Times New Roman"/>
    </w:rPr>
  </w:style>
  <w:style w:type="paragraph" w:customStyle="1" w:styleId="13">
    <w:name w:val="_Style 1"/>
    <w:basedOn w:val="1"/>
    <w:qFormat/>
    <w:uiPriority w:val="0"/>
    <w:pPr>
      <w:ind w:firstLine="420" w:firstLineChars="200"/>
    </w:pPr>
  </w:style>
  <w:style w:type="paragraph" w:customStyle="1" w:styleId="14">
    <w:name w:val="List Paragraph1"/>
    <w:basedOn w:val="1"/>
    <w:qFormat/>
    <w:uiPriority w:val="0"/>
    <w:pPr>
      <w:ind w:firstLine="420" w:firstLineChars="200"/>
    </w:pPr>
  </w:style>
  <w:style w:type="character" w:customStyle="1" w:styleId="15">
    <w:name w:val="页眉 Char"/>
    <w:link w:val="5"/>
    <w:qFormat/>
    <w:uiPriority w:val="0"/>
    <w:rPr>
      <w:rFonts w:ascii="等线" w:hAnsi="等线" w:eastAsia="等线" w:cs="等线"/>
      <w:kern w:val="2"/>
      <w:sz w:val="18"/>
      <w:szCs w:val="18"/>
    </w:rPr>
  </w:style>
  <w:style w:type="character" w:customStyle="1" w:styleId="16">
    <w:name w:val="页脚 Char"/>
    <w:link w:val="4"/>
    <w:qFormat/>
    <w:uiPriority w:val="0"/>
    <w:rPr>
      <w:rFonts w:ascii="等线" w:hAnsi="等线" w:eastAsia="等线" w:cs="等线"/>
      <w:kern w:val="2"/>
      <w:sz w:val="18"/>
      <w:szCs w:val="18"/>
    </w:rPr>
  </w:style>
  <w:style w:type="character" w:customStyle="1" w:styleId="17">
    <w:name w:val="正文文本缩进 Char"/>
    <w:link w:val="2"/>
    <w:qFormat/>
    <w:uiPriority w:val="0"/>
    <w:rPr>
      <w:rFonts w:ascii="等线" w:hAnsi="等线" w:eastAsia="等线" w:cs="等线"/>
      <w:kern w:val="2"/>
      <w:sz w:val="21"/>
      <w:szCs w:val="21"/>
    </w:rPr>
  </w:style>
  <w:style w:type="character" w:customStyle="1" w:styleId="18">
    <w:name w:val="日期 Char"/>
    <w:link w:val="3"/>
    <w:qFormat/>
    <w:uiPriority w:val="0"/>
    <w:rPr>
      <w:rFonts w:ascii="等线" w:hAnsi="等线" w:eastAsia="等线" w:cs="等线"/>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573</Words>
  <Characters>3271</Characters>
  <Lines>27</Lines>
  <Paragraphs>7</Paragraphs>
  <TotalTime>2</TotalTime>
  <ScaleCrop>false</ScaleCrop>
  <LinksUpToDate>false</LinksUpToDate>
  <CharactersWithSpaces>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2020-05-06T15:38:00Z</dcterms:created>
  <dc:creator>User</dc:creator>
  <cp:lastModifiedBy>user</cp:lastModifiedBy>
  <cp:lastPrinted>2021-04-22T15:38:03Z</cp:lastPrinted>
  <dcterms:modified xsi:type="dcterms:W3CDTF">2021-04-22T15:39:00Z</dcterms:modified>
  <dc:title>青岛市就业服务中心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