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375" w:type="dxa"/>
        <w:tblInd w:w="-4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95"/>
        <w:gridCol w:w="966"/>
        <w:gridCol w:w="554"/>
        <w:gridCol w:w="398"/>
        <w:gridCol w:w="1822"/>
        <w:gridCol w:w="88"/>
        <w:gridCol w:w="521"/>
        <w:gridCol w:w="784"/>
        <w:gridCol w:w="270"/>
        <w:gridCol w:w="557"/>
        <w:gridCol w:w="2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1195" w:type="dxa"/>
            <w:shd w:val="clear" w:color="auto" w:fill="auto"/>
            <w:vAlign w:val="center"/>
          </w:tcPr>
          <w:p>
            <w:pPr>
              <w:keepNext w:val="0"/>
              <w:keepLines w:val="0"/>
              <w:widowControl/>
              <w:suppressLineNumbers w:val="0"/>
              <w:jc w:val="left"/>
              <w:textAlignment w:val="center"/>
              <w:rPr>
                <w:rFonts w:hint="default"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t>附件2</w:t>
            </w:r>
            <w:bookmarkStart w:id="0" w:name="_GoBack"/>
            <w:bookmarkEnd w:id="0"/>
          </w:p>
        </w:tc>
        <w:tc>
          <w:tcPr>
            <w:tcW w:w="966" w:type="dxa"/>
            <w:shd w:val="clear" w:color="auto" w:fill="auto"/>
            <w:vAlign w:val="center"/>
          </w:tcPr>
          <w:p>
            <w:pPr>
              <w:rPr>
                <w:rFonts w:hint="eastAsia" w:ascii="宋体" w:hAnsi="宋体" w:eastAsia="宋体" w:cs="宋体"/>
                <w:i w:val="0"/>
                <w:color w:val="000000"/>
                <w:sz w:val="22"/>
                <w:szCs w:val="22"/>
                <w:u w:val="none"/>
              </w:rPr>
            </w:pPr>
          </w:p>
        </w:tc>
        <w:tc>
          <w:tcPr>
            <w:tcW w:w="952" w:type="dxa"/>
            <w:gridSpan w:val="2"/>
            <w:shd w:val="clear" w:color="auto" w:fill="auto"/>
            <w:vAlign w:val="center"/>
          </w:tcPr>
          <w:p>
            <w:pPr>
              <w:rPr>
                <w:rFonts w:hint="eastAsia" w:ascii="宋体" w:hAnsi="宋体" w:eastAsia="宋体" w:cs="宋体"/>
                <w:i w:val="0"/>
                <w:color w:val="000000"/>
                <w:sz w:val="22"/>
                <w:szCs w:val="22"/>
                <w:u w:val="none"/>
              </w:rPr>
            </w:pPr>
          </w:p>
        </w:tc>
        <w:tc>
          <w:tcPr>
            <w:tcW w:w="2431" w:type="dxa"/>
            <w:gridSpan w:val="3"/>
            <w:shd w:val="clear" w:color="auto" w:fill="auto"/>
            <w:vAlign w:val="center"/>
          </w:tcPr>
          <w:p>
            <w:pPr>
              <w:rPr>
                <w:rFonts w:hint="eastAsia" w:ascii="宋体" w:hAnsi="宋体" w:eastAsia="宋体" w:cs="宋体"/>
                <w:i w:val="0"/>
                <w:color w:val="000000"/>
                <w:sz w:val="22"/>
                <w:szCs w:val="22"/>
                <w:u w:val="none"/>
              </w:rPr>
            </w:pPr>
          </w:p>
        </w:tc>
        <w:tc>
          <w:tcPr>
            <w:tcW w:w="1054" w:type="dxa"/>
            <w:gridSpan w:val="2"/>
            <w:shd w:val="clear" w:color="auto" w:fill="auto"/>
            <w:vAlign w:val="center"/>
          </w:tcPr>
          <w:p>
            <w:pPr>
              <w:rPr>
                <w:rFonts w:hint="eastAsia" w:ascii="宋体" w:hAnsi="宋体" w:eastAsia="宋体" w:cs="宋体"/>
                <w:i w:val="0"/>
                <w:color w:val="000000"/>
                <w:sz w:val="22"/>
                <w:szCs w:val="22"/>
                <w:u w:val="none"/>
              </w:rPr>
            </w:pPr>
          </w:p>
        </w:tc>
        <w:tc>
          <w:tcPr>
            <w:tcW w:w="2777" w:type="dxa"/>
            <w:gridSpan w:val="2"/>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375" w:type="dxa"/>
            <w:gridSpan w:val="11"/>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黑体" w:hAnsi="黑体" w:eastAsia="黑体" w:cs="黑体"/>
                <w:b w:val="0"/>
                <w:bCs/>
                <w:i w:val="0"/>
                <w:color w:val="000000"/>
                <w:kern w:val="0"/>
                <w:sz w:val="36"/>
                <w:szCs w:val="36"/>
                <w:u w:val="none"/>
                <w:lang w:val="en-US" w:eastAsia="zh-CN" w:bidi="ar"/>
              </w:rPr>
              <w:t>缓缴社会保险费资格确认表（新版）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trPr>
        <w:tc>
          <w:tcPr>
            <w:tcW w:w="11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单位名称</w:t>
            </w:r>
          </w:p>
        </w:tc>
        <w:tc>
          <w:tcPr>
            <w:tcW w:w="38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05"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统一社会</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信用代码</w:t>
            </w:r>
          </w:p>
        </w:tc>
        <w:tc>
          <w:tcPr>
            <w:tcW w:w="3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trPr>
        <w:tc>
          <w:tcPr>
            <w:tcW w:w="1195"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主管税务机关</w:t>
            </w:r>
          </w:p>
        </w:tc>
        <w:tc>
          <w:tcPr>
            <w:tcW w:w="81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1195" w:type="dxa"/>
            <w:vMerge w:val="restar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行业类型</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（一）</w:t>
            </w:r>
          </w:p>
        </w:tc>
        <w:tc>
          <w:tcPr>
            <w:tcW w:w="7214" w:type="dxa"/>
            <w:gridSpan w:val="9"/>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□餐饮  □零售  □旅游  □民航  □公路水路铁路运输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1" w:hRule="atLeast"/>
        </w:trPr>
        <w:tc>
          <w:tcPr>
            <w:tcW w:w="1195" w:type="dxa"/>
            <w:vMerge w:val="continue"/>
            <w:tcBorders>
              <w:top w:val="single" w:color="000000" w:sz="4" w:space="0"/>
              <w:lef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6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（二）</w:t>
            </w:r>
          </w:p>
        </w:tc>
        <w:tc>
          <w:tcPr>
            <w:tcW w:w="7214" w:type="dxa"/>
            <w:gridSpan w:val="9"/>
            <w:tcBorders>
              <w:top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□农副食品加工业  □纺织业  □纺织服装、服饰业  □造纸和纸制品业   □印刷和记录媒介复制业  □医药制造业  □化学纤维制造业   □橡胶和塑料制品业  □通用设备制造业  □汽车制造业 </w:t>
            </w:r>
            <w:r>
              <w:rPr>
                <w:rFonts w:hint="eastAsia" w:ascii="仿宋" w:hAnsi="仿宋" w:eastAsia="仿宋" w:cs="仿宋"/>
                <w:i w:val="0"/>
                <w:color w:val="000000"/>
                <w:kern w:val="0"/>
                <w:sz w:val="24"/>
                <w:szCs w:val="24"/>
                <w:u w:val="none"/>
                <w:lang w:val="en-US" w:eastAsia="zh-CN" w:bidi="ar"/>
              </w:rPr>
              <w:t xml:space="preserve"> </w:t>
            </w:r>
            <w:r>
              <w:rPr>
                <w:rFonts w:hint="default" w:ascii="仿宋" w:hAnsi="仿宋" w:eastAsia="仿宋" w:cs="仿宋"/>
                <w:i w:val="0"/>
                <w:color w:val="000000"/>
                <w:kern w:val="0"/>
                <w:sz w:val="24"/>
                <w:szCs w:val="24"/>
                <w:u w:val="none"/>
                <w:lang w:val="en-US" w:eastAsia="zh-CN" w:bidi="ar"/>
              </w:rPr>
              <w:t xml:space="preserve"> □铁路、船舶、航空航天和其他运输设备制造业  □仪器仪表制造业  □社会工作  □广播、电视、电影和录音制作业  □文化艺术业 </w:t>
            </w:r>
            <w:r>
              <w:rPr>
                <w:rFonts w:hint="eastAsia" w:ascii="仿宋" w:hAnsi="仿宋" w:eastAsia="仿宋" w:cs="仿宋"/>
                <w:i w:val="0"/>
                <w:color w:val="000000"/>
                <w:kern w:val="0"/>
                <w:sz w:val="24"/>
                <w:szCs w:val="24"/>
                <w:u w:val="none"/>
                <w:lang w:val="en-US" w:eastAsia="zh-CN" w:bidi="ar"/>
              </w:rPr>
              <w:t xml:space="preserve">  </w:t>
            </w:r>
            <w:r>
              <w:rPr>
                <w:rFonts w:hint="default" w:ascii="仿宋" w:hAnsi="仿宋" w:eastAsia="仿宋" w:cs="仿宋"/>
                <w:i w:val="0"/>
                <w:color w:val="000000"/>
                <w:kern w:val="0"/>
                <w:sz w:val="24"/>
                <w:szCs w:val="24"/>
                <w:u w:val="none"/>
                <w:lang w:val="en-US" w:eastAsia="zh-CN" w:bidi="ar"/>
              </w:rPr>
              <w:t xml:space="preserve"> □体育  □娱乐业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经营困难情况</w:t>
            </w:r>
          </w:p>
        </w:tc>
        <w:tc>
          <w:tcPr>
            <w:tcW w:w="81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若属于行业类型（二），请填写本栏，行业类型（一）无需填写：</w:t>
            </w:r>
            <w:r>
              <w:rPr>
                <w:rFonts w:hint="default" w:ascii="仿宋" w:hAnsi="仿宋" w:eastAsia="仿宋" w:cs="仿宋"/>
                <w:i w:val="0"/>
                <w:color w:val="000000"/>
                <w:kern w:val="0"/>
                <w:sz w:val="24"/>
                <w:szCs w:val="24"/>
                <w:u w:val="none"/>
                <w:lang w:val="en-US" w:eastAsia="zh-CN" w:bidi="ar"/>
              </w:rPr>
              <w:br w:type="textWrapping"/>
            </w:r>
            <w:r>
              <w:rPr>
                <w:rFonts w:hint="default" w:ascii="仿宋" w:hAnsi="仿宋" w:eastAsia="仿宋" w:cs="仿宋"/>
                <w:i w:val="0"/>
                <w:color w:val="000000"/>
                <w:kern w:val="0"/>
                <w:sz w:val="24"/>
                <w:szCs w:val="24"/>
                <w:u w:val="none"/>
                <w:lang w:val="en-US" w:eastAsia="zh-CN" w:bidi="ar"/>
              </w:rPr>
              <w:t>2022年是否已出现1个月（含）以上的亏损？  □是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申请事项</w:t>
            </w:r>
          </w:p>
        </w:tc>
        <w:tc>
          <w:tcPr>
            <w:tcW w:w="81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40" w:firstLineChars="100"/>
              <w:jc w:val="left"/>
              <w:textAlignment w:val="center"/>
              <w:rPr>
                <w:rFonts w:hint="default" w:ascii="仿宋" w:hAnsi="仿宋" w:eastAsia="仿宋" w:cs="仿宋"/>
                <w:i w:val="0"/>
                <w:color w:val="000000"/>
                <w:sz w:val="24"/>
                <w:szCs w:val="24"/>
                <w:u w:val="none"/>
              </w:rPr>
            </w:pPr>
            <w:r>
              <w:rPr>
                <w:rStyle w:val="4"/>
                <w:lang w:val="en-US" w:eastAsia="zh-CN" w:bidi="ar"/>
              </w:rPr>
              <w:t>根据《关于特困行业阶段性实施缓缴企业社会保险费政策的通知》（人社厅发</w:t>
            </w:r>
            <w:r>
              <w:rPr>
                <w:rStyle w:val="5"/>
                <w:lang w:val="en-US" w:eastAsia="zh-CN" w:bidi="ar"/>
              </w:rPr>
              <w:t>〔</w:t>
            </w:r>
            <w:r>
              <w:rPr>
                <w:rStyle w:val="4"/>
                <w:lang w:val="en-US" w:eastAsia="zh-CN" w:bidi="ar"/>
              </w:rPr>
              <w:t>2022</w:t>
            </w:r>
            <w:r>
              <w:rPr>
                <w:rStyle w:val="5"/>
                <w:lang w:val="en-US" w:eastAsia="zh-CN" w:bidi="ar"/>
              </w:rPr>
              <w:t>〕</w:t>
            </w:r>
            <w:r>
              <w:rPr>
                <w:rStyle w:val="4"/>
                <w:lang w:val="en-US" w:eastAsia="zh-CN" w:bidi="ar"/>
              </w:rPr>
              <w:t>16号）和《关于扩大阶段性缓缴社会保险费政策实施范围等问题的通知》（人社部发〔2022〕31号），我单位特申请缓缴社会保险费，具体如下：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险种名称</w:t>
            </w:r>
          </w:p>
        </w:tc>
        <w:tc>
          <w:tcPr>
            <w:tcW w:w="2220"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缴费所属期起</w:t>
            </w:r>
          </w:p>
        </w:tc>
        <w:tc>
          <w:tcPr>
            <w:tcW w:w="2220" w:type="dxa"/>
            <w:gridSpan w:val="5"/>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缴费所属期止</w:t>
            </w:r>
          </w:p>
        </w:tc>
        <w:tc>
          <w:tcPr>
            <w:tcW w:w="22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补缴费款时间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20"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养老保险</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年   月</w:t>
            </w:r>
          </w:p>
        </w:tc>
        <w:tc>
          <w:tcPr>
            <w:tcW w:w="2220"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年   月</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20"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工伤保险</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年   月</w:t>
            </w:r>
          </w:p>
        </w:tc>
        <w:tc>
          <w:tcPr>
            <w:tcW w:w="2220"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年   月</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20" w:type="dxa"/>
            <w:gridSpan w:val="2"/>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失业保险</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年   月</w:t>
            </w:r>
          </w:p>
        </w:tc>
        <w:tc>
          <w:tcPr>
            <w:tcW w:w="2220"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年   月</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6" w:hRule="atLeast"/>
        </w:trPr>
        <w:tc>
          <w:tcPr>
            <w:tcW w:w="11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申请单位承诺事项</w:t>
            </w:r>
          </w:p>
        </w:tc>
        <w:tc>
          <w:tcPr>
            <w:tcW w:w="8180" w:type="dxa"/>
            <w:gridSpan w:val="10"/>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本单位确保上述信息真实准确，若有不实之处将按规定补缴已减免的滞纳金并承担由此引起的一切法律责任和后果。</w:t>
            </w:r>
            <w:r>
              <w:rPr>
                <w:rFonts w:hint="default" w:ascii="仿宋" w:hAnsi="仿宋" w:eastAsia="仿宋" w:cs="仿宋"/>
                <w:i w:val="0"/>
                <w:color w:val="000000"/>
                <w:kern w:val="0"/>
                <w:sz w:val="24"/>
                <w:szCs w:val="24"/>
                <w:u w:val="none"/>
                <w:lang w:val="en-US" w:eastAsia="zh-CN" w:bidi="ar"/>
              </w:rPr>
              <w:br w:type="textWrapping"/>
            </w:r>
            <w:r>
              <w:rPr>
                <w:rFonts w:hint="default" w:ascii="仿宋" w:hAnsi="仿宋" w:eastAsia="仿宋" w:cs="仿宋"/>
                <w:i w:val="0"/>
                <w:color w:val="000000"/>
                <w:kern w:val="0"/>
                <w:sz w:val="24"/>
                <w:szCs w:val="24"/>
                <w:u w:val="none"/>
                <w:lang w:val="en-US" w:eastAsia="zh-CN" w:bidi="ar"/>
              </w:rPr>
              <w:t xml:space="preserve">  </w:t>
            </w:r>
            <w:r>
              <w:rPr>
                <w:rFonts w:hint="default" w:ascii="仿宋" w:hAnsi="仿宋" w:eastAsia="仿宋" w:cs="仿宋"/>
                <w:i w:val="0"/>
                <w:color w:val="000000"/>
                <w:kern w:val="0"/>
                <w:sz w:val="24"/>
                <w:szCs w:val="24"/>
                <w:u w:val="none"/>
                <w:lang w:val="en-US" w:eastAsia="zh-CN" w:bidi="ar"/>
              </w:rPr>
              <w:br w:type="textWrapping"/>
            </w:r>
            <w:r>
              <w:rPr>
                <w:rFonts w:hint="default" w:ascii="仿宋" w:hAnsi="仿宋" w:eastAsia="仿宋" w:cs="仿宋"/>
                <w:i w:val="0"/>
                <w:color w:val="000000"/>
                <w:kern w:val="0"/>
                <w:sz w:val="24"/>
                <w:szCs w:val="24"/>
                <w:u w:val="none"/>
                <w:lang w:val="en-US" w:eastAsia="zh-CN" w:bidi="ar"/>
              </w:rPr>
              <w:t xml:space="preserve">     经办人：      　　　   </w:t>
            </w:r>
            <w:r>
              <w:rPr>
                <w:rFonts w:hint="eastAsia" w:ascii="仿宋" w:hAnsi="仿宋" w:eastAsia="仿宋" w:cs="仿宋"/>
                <w:i w:val="0"/>
                <w:color w:val="000000"/>
                <w:kern w:val="0"/>
                <w:sz w:val="24"/>
                <w:szCs w:val="24"/>
                <w:u w:val="none"/>
                <w:lang w:val="en-US" w:eastAsia="zh-CN" w:bidi="ar"/>
              </w:rPr>
              <w:t xml:space="preserve">  </w:t>
            </w:r>
            <w:r>
              <w:rPr>
                <w:rFonts w:hint="default" w:ascii="仿宋" w:hAnsi="仿宋" w:eastAsia="仿宋" w:cs="仿宋"/>
                <w:i w:val="0"/>
                <w:color w:val="000000"/>
                <w:kern w:val="0"/>
                <w:sz w:val="24"/>
                <w:szCs w:val="24"/>
                <w:u w:val="none"/>
                <w:lang w:val="en-US" w:eastAsia="zh-CN" w:bidi="ar"/>
              </w:rPr>
              <w:t>　　年    月    日（单位公章）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31" w:hRule="atLeast"/>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社保经办机构意见</w:t>
            </w:r>
          </w:p>
        </w:tc>
        <w:tc>
          <w:tcPr>
            <w:tcW w:w="8180" w:type="dxa"/>
            <w:gridSpan w:val="10"/>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经核实，该参保单位（养老保险、工伤保险单位</w:t>
            </w:r>
            <w:r>
              <w:rPr>
                <w:rFonts w:hint="eastAsia" w:ascii="仿宋" w:hAnsi="仿宋" w:eastAsia="仿宋" w:cs="仿宋"/>
                <w:i w:val="0"/>
                <w:color w:val="000000"/>
                <w:kern w:val="0"/>
                <w:sz w:val="24"/>
                <w:szCs w:val="24"/>
                <w:u w:val="none"/>
                <w:lang w:val="en-US" w:eastAsia="zh-CN" w:bidi="ar"/>
              </w:rPr>
              <w:t>编码</w:t>
            </w:r>
            <w:r>
              <w:rPr>
                <w:rFonts w:hint="default" w:ascii="仿宋" w:hAnsi="仿宋" w:eastAsia="仿宋" w:cs="仿宋"/>
                <w:i w:val="0"/>
                <w:color w:val="000000"/>
                <w:kern w:val="0"/>
                <w:sz w:val="24"/>
                <w:szCs w:val="24"/>
                <w:u w:val="none"/>
                <w:lang w:val="en-US" w:eastAsia="zh-CN" w:bidi="ar"/>
              </w:rPr>
              <w:t>为                 ，失业保险单位编码为                     ）行业类型符合《关于特困行业阶段性实施缓缴企业社会保险费政策的通知》（人社厅发〔2022〕16号）和《关于扩大阶段性缓缴社会保险费政策实施范围等问题的通知》（人社部发〔2022〕31号）规定的阶段性缓缴社会保险费的适用范围。</w:t>
            </w:r>
            <w:r>
              <w:rPr>
                <w:rFonts w:hint="default" w:ascii="仿宋" w:hAnsi="仿宋" w:eastAsia="仿宋" w:cs="仿宋"/>
                <w:i w:val="0"/>
                <w:color w:val="000000"/>
                <w:kern w:val="0"/>
                <w:sz w:val="24"/>
                <w:szCs w:val="24"/>
                <w:u w:val="none"/>
                <w:lang w:val="en-US" w:eastAsia="zh-CN" w:bidi="ar"/>
              </w:rPr>
              <w:br w:type="textWrapping"/>
            </w:r>
            <w:r>
              <w:rPr>
                <w:rFonts w:hint="default" w:ascii="仿宋" w:hAnsi="仿宋" w:eastAsia="仿宋" w:cs="仿宋"/>
                <w:i w:val="0"/>
                <w:color w:val="000000"/>
                <w:kern w:val="0"/>
                <w:sz w:val="24"/>
                <w:szCs w:val="24"/>
                <w:u w:val="none"/>
                <w:lang w:val="en-US" w:eastAsia="zh-CN" w:bidi="ar"/>
              </w:rPr>
              <w:t xml:space="preserve">      </w:t>
            </w:r>
            <w:r>
              <w:rPr>
                <w:rFonts w:hint="default" w:ascii="仿宋" w:hAnsi="仿宋" w:eastAsia="仿宋" w:cs="仿宋"/>
                <w:i w:val="0"/>
                <w:color w:val="000000"/>
                <w:kern w:val="0"/>
                <w:sz w:val="24"/>
                <w:szCs w:val="24"/>
                <w:u w:val="none"/>
                <w:lang w:val="en-US" w:eastAsia="zh-CN" w:bidi="ar"/>
              </w:rPr>
              <w:br w:type="textWrapping"/>
            </w:r>
            <w:r>
              <w:rPr>
                <w:rFonts w:hint="default" w:ascii="仿宋" w:hAnsi="仿宋" w:eastAsia="仿宋" w:cs="仿宋"/>
                <w:i w:val="0"/>
                <w:color w:val="000000"/>
                <w:kern w:val="0"/>
                <w:sz w:val="24"/>
                <w:szCs w:val="24"/>
                <w:u w:val="none"/>
                <w:lang w:val="en-US" w:eastAsia="zh-CN" w:bidi="ar"/>
              </w:rPr>
              <w:t xml:space="preserve">     经办人：           </w:t>
            </w:r>
            <w:r>
              <w:rPr>
                <w:rFonts w:hint="eastAsia" w:ascii="仿宋" w:hAnsi="仿宋" w:eastAsia="仿宋" w:cs="仿宋"/>
                <w:i w:val="0"/>
                <w:color w:val="000000"/>
                <w:kern w:val="0"/>
                <w:sz w:val="24"/>
                <w:szCs w:val="24"/>
                <w:u w:val="none"/>
                <w:lang w:val="en-US" w:eastAsia="zh-CN" w:bidi="ar"/>
              </w:rPr>
              <w:t xml:space="preserve"> </w:t>
            </w:r>
            <w:r>
              <w:rPr>
                <w:rFonts w:hint="default" w:ascii="仿宋" w:hAnsi="仿宋" w:eastAsia="仿宋" w:cs="仿宋"/>
                <w:i w:val="0"/>
                <w:color w:val="000000"/>
                <w:kern w:val="0"/>
                <w:sz w:val="24"/>
                <w:szCs w:val="24"/>
                <w:u w:val="none"/>
                <w:lang w:val="en-US" w:eastAsia="zh-CN" w:bidi="ar"/>
              </w:rPr>
              <w:t>审核人：</w:t>
            </w:r>
            <w:r>
              <w:rPr>
                <w:rFonts w:hint="default" w:ascii="仿宋" w:hAnsi="仿宋" w:eastAsia="仿宋" w:cs="仿宋"/>
                <w:i w:val="0"/>
                <w:color w:val="000000"/>
                <w:kern w:val="0"/>
                <w:sz w:val="24"/>
                <w:szCs w:val="24"/>
                <w:u w:val="none"/>
                <w:lang w:val="en-US" w:eastAsia="zh-CN" w:bidi="ar"/>
              </w:rPr>
              <w:br w:type="textWrapping"/>
            </w:r>
            <w:r>
              <w:rPr>
                <w:rFonts w:hint="default" w:ascii="仿宋" w:hAnsi="仿宋" w:eastAsia="仿宋" w:cs="仿宋"/>
                <w:i w:val="0"/>
                <w:color w:val="000000"/>
                <w:kern w:val="0"/>
                <w:sz w:val="24"/>
                <w:szCs w:val="24"/>
                <w:u w:val="none"/>
                <w:lang w:val="en-US" w:eastAsia="zh-CN" w:bidi="ar"/>
              </w:rPr>
              <w:t xml:space="preserve">                                </w:t>
            </w:r>
            <w:r>
              <w:rPr>
                <w:rFonts w:hint="eastAsia" w:ascii="仿宋" w:hAnsi="仿宋" w:eastAsia="仿宋" w:cs="仿宋"/>
                <w:i w:val="0"/>
                <w:color w:val="000000"/>
                <w:kern w:val="0"/>
                <w:sz w:val="24"/>
                <w:szCs w:val="24"/>
                <w:u w:val="none"/>
                <w:lang w:val="en-US" w:eastAsia="zh-CN" w:bidi="ar"/>
              </w:rPr>
              <w:t xml:space="preserve"> </w:t>
            </w:r>
            <w:r>
              <w:rPr>
                <w:rFonts w:hint="default" w:ascii="仿宋" w:hAnsi="仿宋" w:eastAsia="仿宋" w:cs="仿宋"/>
                <w:i w:val="0"/>
                <w:color w:val="000000"/>
                <w:kern w:val="0"/>
                <w:sz w:val="24"/>
                <w:szCs w:val="24"/>
                <w:u w:val="none"/>
                <w:lang w:val="en-US" w:eastAsia="zh-CN" w:bidi="ar"/>
              </w:rPr>
              <w:t>年    月    日（社保经办机构盖章）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61" w:hRule="atLeast"/>
        </w:trPr>
        <w:tc>
          <w:tcPr>
            <w:tcW w:w="9375" w:type="dxa"/>
            <w:gridSpan w:val="11"/>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1.本表一式三份,用人单位、社保经办机构、税务部门各一份。</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2.行业类型由企业申报时自行勾选，社保经办机构审核确认，除旅游业外，以社保经办机构业务信息系统中登记的行业类型为准。因业务信息系统中的行业类型无旅游业，故勾选旅游业则视为企业承诺。</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3.相关部门可对用人单位承诺事项的真实性进行监督检查，对不符合条件的企业已享受缓缴的社会保险费进行追缴，并按规定加收滞纳金。</w:t>
            </w:r>
          </w:p>
        </w:tc>
      </w:tr>
    </w:tbl>
    <w:p/>
    <w:sectPr>
      <w:pgSz w:w="11906" w:h="16838"/>
      <w:pgMar w:top="873" w:right="1800" w:bottom="777"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0000000000000000000"/>
    <w:charset w:val="00"/>
    <w:family w:val="auto"/>
    <w:pitch w:val="default"/>
    <w:sig w:usb0="00000000" w:usb1="00000000" w:usb2="00000000" w:usb3="00000000" w:csb0="00000000" w:csb1="00000000"/>
  </w:font>
  <w:font w:name="方正隶书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revisionView w:markup="0"/>
  <w:documentProtection w:enforcement="0"/>
  <w:defaultTabStop w:val="420"/>
  <w:drawingGridHorizontalSpacing w:val="21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9481A"/>
    <w:rsid w:val="12F9481A"/>
    <w:rsid w:val="18390A9A"/>
    <w:rsid w:val="5B30064C"/>
    <w:rsid w:val="77E9A150"/>
    <w:rsid w:val="7D9E418F"/>
    <w:rsid w:val="7FF72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default" w:ascii="仿宋" w:hAnsi="仿宋" w:eastAsia="仿宋" w:cs="仿宋"/>
      <w:color w:val="000000"/>
      <w:sz w:val="24"/>
      <w:szCs w:val="24"/>
      <w:u w:val="none"/>
    </w:rPr>
  </w:style>
  <w:style w:type="character" w:customStyle="1" w:styleId="5">
    <w:name w:val="font11"/>
    <w:basedOn w:val="3"/>
    <w:qFormat/>
    <w:uiPriority w:val="0"/>
    <w:rPr>
      <w:rFonts w:ascii="方正隶书_GBK" w:hAnsi="方正隶书_GBK" w:eastAsia="方正隶书_GBK" w:cs="方正隶书_GBK"/>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rst</Company>
  <Pages>1</Pages>
  <Words>0</Words>
  <Characters>0</Characters>
  <Lines>0</Lines>
  <Paragraphs>0</Paragraphs>
  <TotalTime>15</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2022-06-09T17:18:00Z</dcterms:created>
  <dc:creator>林茗</dc:creator>
  <cp:lastModifiedBy>林茗</cp:lastModifiedBy>
  <cp:lastPrinted>2022-06-09T17:33:00Z</cp:lastPrinted>
  <dcterms:modified xsi:type="dcterms:W3CDTF">2022-06-10T16:28:56Z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