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lang w:eastAsia="zh-CN"/>
        </w:rPr>
        <w:t>绵阳市</w:t>
      </w:r>
      <w:r>
        <w:rPr>
          <w:rFonts w:hint="eastAsia" w:ascii="方正小标宋简体" w:hAnsi="方正小标宋简体" w:eastAsia="方正小标宋简体" w:cs="方正小标宋简体"/>
          <w:sz w:val="44"/>
          <w:szCs w:val="44"/>
        </w:rPr>
        <w:t>人力资源和社会保障事业发展</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eastAsia="zh-CN"/>
        </w:rPr>
        <w:t>十</w:t>
      </w:r>
      <w:r>
        <w:rPr>
          <w:rFonts w:hint="eastAsia" w:ascii="方正小标宋简体" w:hAnsi="方正小标宋简体" w:eastAsia="方正小标宋简体" w:cs="方正小标宋简体"/>
          <w:sz w:val="44"/>
          <w:szCs w:val="44"/>
        </w:rPr>
        <w:t>四五”规划指标解释</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 xml:space="preserve"> 一、就业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城镇新增就业人数（万人）：指报告期内，本地区城镇累计新就业人员数与自然减员人数之差。其中，城镇新就业人员数是指城镇区域内由未就业转为就业状态的劳动年龄内人数总和，包括通过城镇各类单位、个体工商户、公益性岗位、非全日制就业等灵活形式以及通过“互联网+”等新就业形态实现就业的人员；自然减员人数是指因退休、伤亡等原因减少的人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城镇登记失业率(%)：指城镇登记失业人数占城镇从业人数与城镇登记失业人数之和的比重。其中，城镇登记失业人数是指在城镇区域内办理失业登记的人员数，包括本地户籍人员、农村进城务工人员和其化非本地户籍人员；城镇从业人数是指城镇区域内单位就业、私营企业和个体工商户就业、非全日制就业等灵活形式就业和通过“互联网+”等新形态就业的人数总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开展补贴性职业技能培训人次（万人次）：指报告期内参加补贴性职业技能培训的人次数。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4.</w:t>
      </w:r>
      <w:r>
        <w:rPr>
          <w:rFonts w:hint="eastAsia" w:ascii="仿宋_GB2312" w:hAnsi="仿宋_GB2312" w:eastAsia="仿宋_GB2312" w:cs="仿宋_GB2312"/>
          <w:sz w:val="32"/>
          <w:szCs w:val="32"/>
        </w:rPr>
        <w:t>农民工参加职业培训人次（万人次）：指报告期内在岗农民工、城镇待岗和失业农民工、农村新转移劳动力、返乡农民工等参加补贴性职业技能培训的人次数。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转移就业农村劳动力人数（万人）：指报告期末本地区劳动年龄内（16-60岁，不含6 0岁），通过劳务收入或经营性收入获得报酬的农村户籍人员总数。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省内转移人数（万人）：指报告期末本地区劳动年龄内( 16-60岁，不含6 0岁)，在省内通过劳务收入或经营性收入获得报酬的农村户籍人员总数。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二、社会保障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基本养老保险参保率(%)：指我</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参加城镇职工基本养老保险和城乡居民基本养老保险的人数（完成参保登记并有过缴费记录的人数）占法定应参保人数（1 6周岁以上人口减去全日制在校学生和现役军人）的比例。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失业保险参保人数（万人）：指报告期末城镇企业、事业单位职工参加失业保险的人数以及按地方规定参加失业保险的其他人员人数之和。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9.工</w:t>
      </w:r>
      <w:r>
        <w:rPr>
          <w:rFonts w:hint="eastAsia" w:ascii="仿宋_GB2312" w:hAnsi="仿宋_GB2312" w:eastAsia="仿宋_GB2312" w:cs="仿宋_GB2312"/>
          <w:sz w:val="32"/>
          <w:szCs w:val="32"/>
        </w:rPr>
        <w:t>伤保险参保人数（万人）：指报告期末参加工伤保险的人数，包括按工伤保险条例规定参保的职工人教、有雇工的个体工商户的雇工数，以及按地方规定参加工伤保险的其他人员人数。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三、人力资源服务业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人力资源服务业总营业收入（亿元）：指市场主体从事人力资源服务相关经营活动形成的经济利益流入。营业收入包括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主营业务收入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其他业务收入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’。根据会计“利润表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营业收入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项目的本年累计数填报。</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人力资源服务业市场主体（个）</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 w:hAnsi="仿宋" w:eastAsia="仿宋" w:cs="仿宋"/>
          <w:sz w:val="32"/>
          <w:szCs w:val="32"/>
        </w:rPr>
        <w:t>指为劳动者就业和职业发展，为单位管理和开发人力资源提供相关服务的专门机构。除传统意义的人力资源服务机构外，党校（行政学院）、高中级职业院校、民办非学历教育机构、社会组织办学，从事专业技术人员和职业技能人才培训、教育、评价、服务的机构，技工院校、民办职业培训学校、农民工服务中心、就业创业服务机构等，均属于人力资源服务业市场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四、人才人事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专业技术人才数量（万人）：指报告期末</w:t>
      </w:r>
      <w:r>
        <w:rPr>
          <w:rFonts w:hint="eastAsia" w:ascii="仿宋_GB2312" w:hAnsi="仿宋_GB2312" w:eastAsia="仿宋_GB2312" w:cs="仿宋_GB2312"/>
          <w:sz w:val="32"/>
          <w:szCs w:val="32"/>
          <w:lang w:eastAsia="zh-CN"/>
        </w:rPr>
        <w:t>全市</w:t>
      </w:r>
      <w:r>
        <w:rPr>
          <w:rFonts w:hint="eastAsia" w:ascii="仿宋_GB2312" w:hAnsi="仿宋_GB2312" w:eastAsia="仿宋_GB2312" w:cs="仿宋_GB2312"/>
          <w:sz w:val="32"/>
          <w:szCs w:val="32"/>
        </w:rPr>
        <w:t>专业技术人才总数。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高级职称人才数量（万人）：指报告期末</w:t>
      </w:r>
      <w:r>
        <w:rPr>
          <w:rFonts w:hint="eastAsia" w:ascii="仿宋_GB2312" w:hAnsi="仿宋_GB2312" w:eastAsia="仿宋_GB2312" w:cs="仿宋_GB2312"/>
          <w:sz w:val="32"/>
          <w:szCs w:val="32"/>
          <w:lang w:eastAsia="zh-CN"/>
        </w:rPr>
        <w:t>全市</w:t>
      </w:r>
      <w:r>
        <w:rPr>
          <w:rFonts w:hint="eastAsia" w:ascii="仿宋_GB2312" w:hAnsi="仿宋_GB2312" w:eastAsia="仿宋_GB2312" w:cs="仿宋_GB2312"/>
          <w:sz w:val="32"/>
          <w:szCs w:val="32"/>
        </w:rPr>
        <w:t>取得高级职称证书的总数。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新增取得专业技术人员职业资格证书人数（万人）：指报告期内新增取得专业技术人员职业资格的人数。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技能人才数量（万人）：指报告期末取得职业资格证书或职业技能等级证书的总数。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高技能人才数量（万人）：指报告期末取得高级工、技师、高级技师职业资格证书或职业技能等级证书的总数。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技工院校招生人数（万人）：指报告期末技工院校招收学生的总数。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新增取得职业资格证书或职业技能等级证书人数（万人）：指报告期内新增取得职业资格证书或职业技能等级证书的人次数。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新增取得高级工以上职业资格证书或职业技能等级证书人数（万人）：指报告期内取得高级工、技师、高级技师职业资格证书或职业技能等级证书的人次数。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五、劳动关系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劳动人事争议调解成功率(%)：指调解组织和仲裁机构调解成功案件数占当期审结案件数的比例。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劳动人事争议仲裁结案率(%)：指仲裁机构当期审结案件数占当期立案受理案件和上期末累计未结案件总数的比例。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劳动保障监察举报投诉案件结案率(%)：指报告期内人力资源社会保障行政部门在法定期限内结案的劳动保障监察举报投诉案件数，与法定期限内应当结案的劳动保障举报投诉案件数的比率。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六、公共服务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23.</w:t>
      </w:r>
      <w:r>
        <w:rPr>
          <w:rFonts w:hint="eastAsia" w:ascii="仿宋_GB2312" w:hAnsi="仿宋_GB2312" w:eastAsia="仿宋_GB2312" w:cs="仿宋_GB2312"/>
          <w:sz w:val="32"/>
          <w:szCs w:val="32"/>
        </w:rPr>
        <w:t>社会保障卡持卡人数（万人）：指报告期末实际持有符合全国统一标准的中华人民共和国社会保障卡的人员数量。包括因卡损坏、遗失或有效期满等原因处于补卡、换卡过程中的人数，补卡、换卡的数量不重复计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申领电子社保卡人口覆盖率(%)：指报告期末实际申领符合全国统一标准的电子社会保障卡的人数占当地常住人口数的百分比。</w:t>
      </w:r>
    </w:p>
    <w:p>
      <w:pPr>
        <w:rPr>
          <w:rFonts w:hint="eastAsia" w:ascii="仿宋" w:hAnsi="仿宋" w:eastAsia="仿宋" w:cs="仿宋"/>
          <w:sz w:val="32"/>
          <w:szCs w:val="32"/>
        </w:rPr>
      </w:pPr>
    </w:p>
    <w:sectPr>
      <w:footerReference r:id="rId3" w:type="default"/>
      <w:pgSz w:w="11906" w:h="16838"/>
      <w:pgMar w:top="1871" w:right="1474" w:bottom="1644" w:left="1587" w:header="851" w:footer="130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913F7D"/>
    <w:rsid w:val="03913F7D"/>
    <w:rsid w:val="0A3E4F0C"/>
    <w:rsid w:val="0EAB15BE"/>
    <w:rsid w:val="1D2D442F"/>
    <w:rsid w:val="3A116699"/>
    <w:rsid w:val="4E677432"/>
    <w:rsid w:val="536C137D"/>
    <w:rsid w:val="58E6695D"/>
    <w:rsid w:val="62453B2E"/>
    <w:rsid w:val="6CFD2324"/>
    <w:rsid w:val="7A1D0102"/>
    <w:rsid w:val="7A3F74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2021-12-10T01:36:00Z</dcterms:created>
  <dc:creator>贾凤谊</dc:creator>
  <cp:lastModifiedBy>贾凤谊</cp:lastModifiedBy>
  <dcterms:modified xsi:type="dcterms:W3CDTF">2021-12-10T08:34:44Z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C024D41E5BBD49D68444BCA5D7B9D798</vt:lpwstr>
  </property>
</Properties>
</file>