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tbl>
      <w:tblPr>
        <w:tblStyle w:val="13"/>
        <w:tblW w:w="9173" w:type="dxa"/>
        <w:tblInd w:w="0" w:type="dxa"/>
        <w:tblLayout w:type="fixed"/>
        <w:tblCellMar>
          <w:top w:w="0" w:type="dxa"/>
          <w:left w:w="28" w:type="dxa"/>
          <w:bottom w:w="0" w:type="dxa"/>
          <w:right w:w="28" w:type="dxa"/>
        </w:tblCellMar>
      </w:tblPr>
      <w:tblGrid>
        <w:gridCol w:w="7805"/>
        <w:gridCol w:w="1368"/>
      </w:tblGrid>
      <w:tr>
        <w:tblPrEx>
          <w:tblLayout w:type="fixed"/>
          <w:tblCellMar>
            <w:top w:w="0" w:type="dxa"/>
            <w:left w:w="28" w:type="dxa"/>
            <w:bottom w:w="0" w:type="dxa"/>
            <w:right w:w="28" w:type="dxa"/>
          </w:tblCellMar>
        </w:tblPrEx>
        <w:trPr>
          <w:cantSplit/>
        </w:trPr>
        <w:tc>
          <w:tcPr>
            <w:tcW w:w="7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840" w:lineRule="exact"/>
              <w:ind w:left="0" w:leftChars="0" w:right="0" w:rightChars="0" w:firstLine="0" w:firstLineChars="0"/>
              <w:jc w:val="distribute"/>
              <w:textAlignment w:val="auto"/>
              <w:outlineLvl w:val="9"/>
              <w:rPr>
                <w:rFonts w:hint="default" w:eastAsia="方正小标宋简体"/>
                <w:color w:val="FF0000"/>
                <w:kern w:val="0"/>
                <w:sz w:val="60"/>
              </w:rPr>
            </w:pPr>
            <w:r>
              <w:rPr>
                <w:rFonts w:hint="eastAsia" w:eastAsia="方正小标宋简体"/>
                <w:color w:val="FF0000"/>
                <w:kern w:val="0"/>
                <w:sz w:val="60"/>
              </w:rPr>
              <w:t>山东省人力资源和社会保障厅</w:t>
            </w:r>
          </w:p>
        </w:tc>
        <w:tc>
          <w:tcPr>
            <w:tcW w:w="136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880" w:lineRule="exact"/>
              <w:ind w:left="0" w:leftChars="0" w:right="0" w:rightChars="0" w:firstLine="0" w:firstLineChars="0"/>
              <w:jc w:val="center"/>
              <w:textAlignment w:val="auto"/>
              <w:outlineLvl w:val="9"/>
              <w:rPr>
                <w:rFonts w:hint="default" w:eastAsia="方正小标宋简体"/>
                <w:color w:val="FF0000"/>
                <w:kern w:val="0"/>
                <w:sz w:val="64"/>
              </w:rPr>
            </w:pPr>
            <w:r>
              <w:rPr>
                <w:rFonts w:hint="eastAsia" w:eastAsia="方正小标宋简体"/>
                <w:color w:val="FF0000"/>
                <w:kern w:val="0"/>
                <w:sz w:val="64"/>
              </w:rPr>
              <w:t>文件</w:t>
            </w:r>
          </w:p>
        </w:tc>
      </w:tr>
      <w:tr>
        <w:tblPrEx>
          <w:tblLayout w:type="fixed"/>
          <w:tblCellMar>
            <w:top w:w="0" w:type="dxa"/>
            <w:left w:w="28" w:type="dxa"/>
            <w:bottom w:w="0" w:type="dxa"/>
            <w:right w:w="28" w:type="dxa"/>
          </w:tblCellMar>
        </w:tblPrEx>
        <w:trPr>
          <w:cantSplit/>
        </w:trPr>
        <w:tc>
          <w:tcPr>
            <w:tcW w:w="7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840" w:lineRule="exact"/>
              <w:ind w:left="0" w:leftChars="0" w:right="0" w:rightChars="0" w:firstLine="0" w:firstLineChars="0"/>
              <w:jc w:val="distribute"/>
              <w:textAlignment w:val="auto"/>
              <w:outlineLvl w:val="9"/>
              <w:rPr>
                <w:rFonts w:hint="eastAsia" w:eastAsia="方正小标宋简体"/>
                <w:color w:val="FF0000"/>
                <w:kern w:val="0"/>
                <w:sz w:val="60"/>
                <w:lang w:val="en-US" w:eastAsia="zh-CN"/>
              </w:rPr>
            </w:pPr>
            <w:r>
              <w:rPr>
                <w:rFonts w:hint="eastAsia" w:eastAsia="方正小标宋简体"/>
                <w:color w:val="FF0000"/>
                <w:kern w:val="0"/>
                <w:sz w:val="60"/>
                <w:lang w:val="en-US" w:eastAsia="zh-CN"/>
              </w:rPr>
              <w:t>山东省财政厅</w:t>
            </w:r>
          </w:p>
        </w:tc>
        <w:tc>
          <w:tcPr>
            <w:tcW w:w="13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880" w:lineRule="exact"/>
              <w:ind w:left="0" w:leftChars="0" w:right="0" w:rightChars="0" w:firstLine="0" w:firstLineChars="0"/>
              <w:jc w:val="center"/>
              <w:textAlignment w:val="auto"/>
              <w:outlineLvl w:val="9"/>
              <w:rPr>
                <w:rFonts w:hint="eastAsia" w:eastAsia="方正小标宋简体"/>
                <w:color w:val="FF0000"/>
                <w:kern w:val="0"/>
                <w:sz w:val="64"/>
              </w:rPr>
            </w:pPr>
          </w:p>
        </w:tc>
      </w:tr>
      <w:tr>
        <w:tblPrEx>
          <w:tblLayout w:type="fixed"/>
          <w:tblCellMar>
            <w:top w:w="0" w:type="dxa"/>
            <w:left w:w="28" w:type="dxa"/>
            <w:bottom w:w="0" w:type="dxa"/>
            <w:right w:w="28" w:type="dxa"/>
          </w:tblCellMar>
        </w:tblPrEx>
        <w:trPr>
          <w:cantSplit/>
        </w:trPr>
        <w:tc>
          <w:tcPr>
            <w:tcW w:w="7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840" w:lineRule="exact"/>
              <w:ind w:left="0" w:leftChars="0" w:right="0" w:rightChars="0" w:firstLine="0" w:firstLineChars="0"/>
              <w:jc w:val="distribute"/>
              <w:textAlignment w:val="auto"/>
              <w:outlineLvl w:val="9"/>
              <w:rPr>
                <w:rFonts w:hint="eastAsia" w:eastAsia="方正小标宋简体"/>
                <w:color w:val="FF0000"/>
                <w:kern w:val="0"/>
                <w:sz w:val="60"/>
                <w:lang w:val="en-US" w:eastAsia="zh-CN"/>
              </w:rPr>
            </w:pPr>
            <w:r>
              <w:rPr>
                <w:rFonts w:hint="eastAsia" w:eastAsia="方正小标宋简体"/>
                <w:color w:val="FF0000"/>
                <w:kern w:val="0"/>
                <w:sz w:val="60"/>
                <w:lang w:val="en-US" w:eastAsia="zh-CN"/>
              </w:rPr>
              <w:t>国家税务总局山东省税务局</w:t>
            </w:r>
          </w:p>
        </w:tc>
        <w:tc>
          <w:tcPr>
            <w:tcW w:w="13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880" w:lineRule="exact"/>
              <w:ind w:left="0" w:leftChars="0" w:right="0" w:rightChars="0" w:firstLine="0" w:firstLineChars="0"/>
              <w:jc w:val="center"/>
              <w:textAlignment w:val="auto"/>
              <w:outlineLvl w:val="9"/>
              <w:rPr>
                <w:rFonts w:hint="eastAsia" w:eastAsia="方正小标宋简体"/>
                <w:color w:val="FF0000"/>
                <w:kern w:val="0"/>
                <w:sz w:val="64"/>
              </w:rPr>
            </w:pPr>
          </w:p>
        </w:tc>
      </w:tr>
      <w:tr>
        <w:tblPrEx>
          <w:tblLayout w:type="fixed"/>
          <w:tblCellMar>
            <w:top w:w="0" w:type="dxa"/>
            <w:left w:w="28" w:type="dxa"/>
            <w:bottom w:w="0" w:type="dxa"/>
            <w:right w:w="28" w:type="dxa"/>
          </w:tblCellMar>
        </w:tblPrEx>
        <w:trPr>
          <w:cantSplit/>
        </w:trPr>
        <w:tc>
          <w:tcPr>
            <w:tcW w:w="780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840" w:lineRule="exact"/>
              <w:ind w:left="0" w:leftChars="0" w:right="0" w:rightChars="0" w:firstLine="0" w:firstLineChars="0"/>
              <w:jc w:val="distribute"/>
              <w:textAlignment w:val="auto"/>
              <w:outlineLvl w:val="9"/>
              <w:rPr>
                <w:rFonts w:hint="eastAsia" w:eastAsia="方正小标宋简体"/>
                <w:color w:val="FF0000"/>
                <w:kern w:val="0"/>
                <w:sz w:val="60"/>
              </w:rPr>
            </w:pPr>
            <w:r>
              <w:rPr>
                <w:rFonts w:hint="eastAsia" w:eastAsia="方正小标宋简体"/>
                <w:color w:val="FF0000"/>
                <w:kern w:val="0"/>
                <w:sz w:val="60"/>
                <w:lang w:val="en-US" w:eastAsia="zh-CN"/>
              </w:rPr>
              <w:t>国家税务总局青岛市税务局</w:t>
            </w:r>
          </w:p>
        </w:tc>
        <w:tc>
          <w:tcPr>
            <w:tcW w:w="136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880" w:lineRule="exact"/>
              <w:ind w:left="0" w:leftChars="0" w:right="0" w:rightChars="0" w:firstLine="0" w:firstLineChars="0"/>
              <w:jc w:val="center"/>
              <w:textAlignment w:val="auto"/>
              <w:outlineLvl w:val="9"/>
              <w:rPr>
                <w:rFonts w:hint="eastAsia" w:eastAsia="方正小标宋简体"/>
                <w:color w:val="FF0000"/>
                <w:kern w:val="0"/>
                <w:sz w:val="64"/>
              </w:rPr>
            </w:pP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16" w:firstLineChars="100"/>
        <w:jc w:val="center"/>
        <w:textAlignment w:val="auto"/>
        <w:outlineLvl w:val="9"/>
        <w:rPr>
          <w:rFonts w:hint="eastAsia"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16" w:firstLineChars="100"/>
        <w:jc w:val="center"/>
        <w:textAlignment w:val="auto"/>
        <w:outlineLvl w:val="9"/>
        <w:rPr>
          <w:rFonts w:hint="eastAsia" w:eastAsia="仿宋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鲁人社发〔2022〕</w:t>
      </w:r>
      <w:r>
        <w:rPr>
          <w:rFonts w:hint="eastAsia" w:ascii="仿宋_GB2312" w:hAnsi="仿宋_GB2312" w:eastAsia="仿宋_GB2312" w:cs="仿宋_GB2312"/>
          <w:bCs/>
          <w:color w:val="auto"/>
          <w:sz w:val="32"/>
          <w:szCs w:val="32"/>
          <w:lang w:val="en-US" w:eastAsia="zh-CN"/>
        </w:rPr>
        <w:t>22</w:t>
      </w:r>
      <w:r>
        <w:rPr>
          <w:rFonts w:hint="eastAsia" w:ascii="仿宋_GB2312" w:hAnsi="仿宋_GB2312" w:eastAsia="仿宋_GB2312" w:cs="仿宋_GB2312"/>
          <w:bCs/>
          <w:color w:val="auto"/>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cs="宋体"/>
          <w:sz w:val="32"/>
          <w:szCs w:val="32"/>
          <w:u w:val="single"/>
          <w:lang w:val="zh-CN"/>
        </w:rPr>
      </w:pPr>
      <w:r>
        <w:rPr>
          <w:sz w:val="32"/>
          <w:szCs w:val="32"/>
          <w:u w:val="single"/>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12065</wp:posOffset>
                </wp:positionV>
                <wp:extent cx="5615940" cy="0"/>
                <wp:effectExtent l="0" t="0" r="0" b="0"/>
                <wp:wrapNone/>
                <wp:docPr id="1" name="直线 6"/>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2.1pt;margin-top:0.95pt;height:0pt;width:442.2pt;z-index:251661312;mso-width-relative:page;mso-height-relative:page;" filled="f" stroked="t" coordsize="21600,21600" o:gfxdata="UEsDBAoAAAAAAIdO4kAAAAAAAAAAAAAAAAAEAAAAZHJzL1BLAwQUAAAACACHTuJATqcUe9IAAAAF&#10;AQAADwAAAGRycy9kb3ducmV2LnhtbE2OMU/DMBCFdyT+g3VIbNRphUqaxqkQEkwwtJSBzYmvcSA+&#10;R7abhH/PwQLju/f03VfuZteLEUPsPClYLjIQSI03HbUKjq+PNzmImDQZ3XtCBV8YYVddXpS6MH6i&#10;PY6H1AqGUCy0ApvSUEgZG4tOx4UfkLg7+eB04hhaaYKeGO56ucqytXS6I/5g9YAPFpvPw9kpuH1+&#10;q4cp2Pfj/mm+2+A8jS8f90pdXy2zLYiEc/obw48+q0PFTrU/k4miZ8aKh3zegOA2z/M1iPo3y6qU&#10;/+2rb1BLAwQUAAAACACHTuJA0SjQmdQBAACcAwAADgAAAGRycy9lMm9Eb2MueG1srVNLjhMxEN0j&#10;cQfLe9KdiAnQSmcWE8IGwUgMB6j4023JP7k86eQsXIMVG44z16DsZMIAG4TIwim7ql7Ve1W9uj44&#10;y/YqoQm+5/NZy5nyIkjjh55/vtu+eM0ZZvASbPCq50eF/Hr9/Nlqip1ahDFYqRIjEI/dFHs+5hy7&#10;pkExKgc4C1F5cuqQHGS6pqGRCSZCd7ZZtO2ymUKSMQWhEOl1c3LydcXXWon8UWtUmdmeU2+5nqme&#10;u3I26xV0Q4I4GnFuA/6hCwfGU9EL1AYysPtk/oByRqSAQeeZCK4JWhuhKgdiM29/Y/NphKgqFxIH&#10;40Um/H+w4sP+NjEjaXaceXA0oocvXx++fWfLos0UsaOQG3+bzjeMt6kQPejkyj9RYIeq5/Gipzpk&#10;Jujxajm/evOSZBePvuZnYkyY36ngWDF6bo0vVKGD/XvMVIxCH0PKs/VsoiYXr9qCB7Qq2kIm00Vq&#10;Hv1QkzFYI7fG2pKCadjd2MT2QMPfblv6FU4E/EtYqbIBHE9x1XVai1GBfOsly8dIsnjaX156cEpy&#10;ZhWte7EIELoMxv5NJJW2viSouppnokXkk6zF2gV5pJHcx2SGkYSZ156Lh1agdn9e17JjT+9kP/2o&#10;1j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qcUe9IAAAAFAQAADwAAAAAAAAABACAAAAAiAAAA&#10;ZHJzL2Rvd25yZXYueG1sUEsBAhQAFAAAAAgAh07iQNEo0JnUAQAAnAMAAA4AAAAAAAAAAQAgAAAA&#10;IQEAAGRycy9lMm9Eb2MueG1sUEsFBgAAAAAGAAYAWQEAAGcFAAAAAA==&#10;">
                <v:fill on="f" focussize="0,0"/>
                <v:stroke weight="1pt" color="#FF0000" joinstyle="round"/>
                <v:imagedata o:title=""/>
                <o:lock v:ext="edit" aspectratio="f"/>
              </v:line>
            </w:pict>
          </mc:Fallback>
        </mc:AlternateContent>
      </w:r>
    </w:p>
    <w:p>
      <w:pPr>
        <w:pStyle w:val="15"/>
        <w:keepNext w:val="0"/>
        <w:keepLines w:val="0"/>
        <w:pageBreakBefore w:val="0"/>
        <w:widowControl w:val="0"/>
        <w:kinsoku/>
        <w:wordWrap/>
        <w:overflowPunct/>
        <w:topLinePunct w:val="0"/>
        <w:autoSpaceDE/>
        <w:autoSpaceDN/>
        <w:bidi w:val="0"/>
        <w:adjustRightInd/>
        <w:snapToGrid/>
        <w:spacing w:after="0" w:line="580" w:lineRule="exact"/>
        <w:ind w:left="0" w:leftChars="0" w:right="0" w:rightChars="0"/>
        <w:rPr>
          <w:rFonts w:hint="eastAsia" w:ascii="黑体" w:hAnsi="黑体" w:eastAsia="黑体" w:cs="黑体"/>
          <w:color w:val="auto"/>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山东省人力资源和社会保障厅</w:t>
      </w:r>
      <w:r>
        <w:rPr>
          <w:rFonts w:hint="default" w:ascii="方正小标宋简体" w:hAnsi="方正小标宋简体" w:eastAsia="方正小标宋简体" w:cs="方正小标宋简体"/>
          <w:color w:val="auto"/>
          <w:sz w:val="44"/>
          <w:szCs w:val="44"/>
          <w:lang w:eastAsia="zh-CN"/>
        </w:rPr>
        <w:t xml:space="preserve"> </w:t>
      </w:r>
      <w:r>
        <w:rPr>
          <w:rFonts w:hint="eastAsia" w:ascii="方正小标宋简体" w:hAnsi="方正小标宋简体" w:eastAsia="方正小标宋简体" w:cs="方正小标宋简体"/>
          <w:color w:val="auto"/>
          <w:sz w:val="44"/>
          <w:szCs w:val="44"/>
          <w:lang w:val="en-US" w:eastAsia="zh-CN"/>
        </w:rPr>
        <w:t>山东省财政厅</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国家税务总局山东省税务局 国家税务总局</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青岛市税务局关于完善居民基本养老</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楷体_GB2312" w:hAnsi="楷体_GB2312" w:eastAsia="楷体_GB2312" w:cs="楷体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保险政策有关问题的通知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仿宋_GB2312" w:hAnsi="仿宋_GB2312" w:eastAsia="仿宋_GB2312" w:cs="仿宋_GB2312"/>
          <w:color w:val="auto"/>
          <w:szCs w:val="32"/>
          <w:lang w:val="en-US"/>
        </w:rPr>
      </w:pP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jc w:val="both"/>
        <w:textAlignment w:val="auto"/>
        <w:outlineLvl w:val="9"/>
        <w:rPr>
          <w:rFonts w:eastAsia="仿宋_GB2312"/>
          <w:color w:val="auto"/>
          <w:lang w:val="en-US"/>
        </w:rPr>
      </w:pPr>
      <w:r>
        <w:rPr>
          <w:rFonts w:hint="eastAsia" w:ascii="仿宋_GB2312" w:hAnsi="仿宋_GB2312" w:eastAsia="仿宋_GB2312" w:cs="仿宋_GB2312"/>
          <w:color w:val="auto"/>
          <w:kern w:val="2"/>
          <w:sz w:val="32"/>
          <w:szCs w:val="24"/>
          <w:lang w:val="en-US" w:eastAsia="zh-CN" w:bidi="ar"/>
        </w:rPr>
        <w:t>各市人力资源社会保障局、财政局、税务局：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kern w:val="2"/>
          <w:sz w:val="32"/>
          <w:szCs w:val="32"/>
          <w:lang w:val="en-US" w:eastAsia="zh-CN" w:bidi="ar"/>
        </w:rPr>
        <w:t>为进一步做好全省居民基本养老保险（以下简称“居民养老保险”）工作，不断改善参保居民生活，促进共同富裕，经省政府同意，现就完善居民养老保险有关政策通知如下。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黑体" w:hAnsi="宋体" w:eastAsia="黑体" w:cs="黑体"/>
          <w:color w:val="auto"/>
          <w:szCs w:val="32"/>
          <w:lang w:val="en-US"/>
        </w:rPr>
      </w:pPr>
      <w:r>
        <w:rPr>
          <w:rFonts w:hint="eastAsia" w:ascii="黑体" w:hAnsi="宋体" w:eastAsia="黑体" w:cs="黑体"/>
          <w:color w:val="auto"/>
          <w:kern w:val="2"/>
          <w:sz w:val="32"/>
          <w:szCs w:val="32"/>
          <w:lang w:val="en-US" w:eastAsia="zh-CN" w:bidi="ar"/>
        </w:rPr>
        <w:t>一、鼓励多缴长缴，提高待遇水平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kern w:val="2"/>
          <w:sz w:val="32"/>
          <w:szCs w:val="32"/>
          <w:lang w:val="en-US" w:eastAsia="zh-CN" w:bidi="ar"/>
        </w:rPr>
        <w:t>（一）居民养老保险缴费标准全省统一设为每年100元、350元、500元、800元、1000元、3000元、5000元、8000元8个档次。其中，100元档次只适用于重度残疾人等缴费困难群体的最低选择。除100元档次外，参保人自主选择缴费档次，按年缴费，多缴多得。各地最低缴费档次高于省定最低标准的，或者最高缴费档次高于省定最高标准的，继续按原标准执行。已经启动缴纳2023年度居民养老保险保费的市、县（市、区）可以顺延一年执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strike/>
          <w:dstrike w:val="0"/>
          <w:color w:val="auto"/>
          <w:szCs w:val="32"/>
          <w:lang w:val="en-US"/>
        </w:rPr>
      </w:pPr>
      <w:r>
        <w:rPr>
          <w:rFonts w:hint="eastAsia" w:ascii="仿宋_GB2312" w:hAnsi="仿宋_GB2312" w:eastAsia="仿宋_GB2312" w:cs="仿宋_GB2312"/>
          <w:color w:val="auto"/>
          <w:kern w:val="2"/>
          <w:sz w:val="32"/>
          <w:szCs w:val="32"/>
          <w:lang w:val="en-US" w:eastAsia="zh-CN" w:bidi="ar"/>
        </w:rPr>
        <w:t>（二）政府对参保人缴费给予适当补贴，对选择100元和350元标准缴费的，补贴标准不低于每人每年30元；对选择500元标准缴费的，补贴标准不低于每人每年60元；对选择800元及以上标准缴费的，补贴标准不低于每人每年80元。市、县（市、区）政府可适当调整缴费补贴标准，引导居民选择高档次标准缴费。</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left="0" w:leftChars="0" w:right="0" w:rightChars="0"/>
        <w:textAlignment w:val="auto"/>
        <w:rPr>
          <w:rFonts w:hint="eastAsia" w:ascii="仿宋_GB2312" w:hAnsi="仿宋_GB2312" w:eastAsia="仿宋_GB2312" w:cs="仿宋_GB2312"/>
          <w:color w:val="auto"/>
          <w:szCs w:val="32"/>
          <w:lang w:val="en-US"/>
        </w:rPr>
      </w:pPr>
      <w:r>
        <w:rPr>
          <w:rFonts w:hint="default" w:ascii="仿宋_GB2312" w:hAnsi="仿宋_GB2312" w:eastAsia="仿宋_GB2312" w:cs="仿宋_GB2312"/>
          <w:color w:val="auto"/>
          <w:kern w:val="2"/>
          <w:sz w:val="32"/>
          <w:szCs w:val="32"/>
          <w:lang w:eastAsia="zh-CN" w:bidi="ar"/>
        </w:rPr>
        <w:t xml:space="preserve">    </w:t>
      </w:r>
      <w:r>
        <w:rPr>
          <w:rFonts w:hint="eastAsia" w:ascii="仿宋_GB2312" w:hAnsi="仿宋_GB2312" w:eastAsia="仿宋_GB2312" w:cs="仿宋_GB2312"/>
          <w:color w:val="auto"/>
          <w:kern w:val="2"/>
          <w:sz w:val="32"/>
          <w:szCs w:val="32"/>
          <w:lang w:val="en-US" w:eastAsia="zh-CN" w:bidi="ar"/>
        </w:rPr>
        <w:t>（三）</w:t>
      </w:r>
      <w:r>
        <w:rPr>
          <w:rFonts w:hint="eastAsia" w:ascii="仿宋_GB2312" w:hAnsi="Calibri" w:eastAsia="仿宋_GB2312" w:cs="仿宋_GB2312"/>
          <w:b w:val="0"/>
          <w:bCs w:val="0"/>
          <w:color w:val="auto"/>
          <w:kern w:val="2"/>
          <w:sz w:val="32"/>
          <w:szCs w:val="32"/>
          <w:lang w:val="en-US" w:eastAsia="zh-CN" w:bidi="ar"/>
        </w:rPr>
        <w:t>对重度残疾人、低保对象、特困人员、脱贫享受政策等缴费困难群体，</w:t>
      </w:r>
      <w:r>
        <w:rPr>
          <w:rFonts w:hint="eastAsia" w:ascii="仿宋_GB2312" w:hAnsi="仿宋_GB2312" w:eastAsia="仿宋_GB2312" w:cs="仿宋_GB2312"/>
          <w:color w:val="auto"/>
          <w:kern w:val="2"/>
          <w:sz w:val="32"/>
          <w:szCs w:val="32"/>
          <w:lang w:val="en-US" w:eastAsia="zh-CN" w:bidi="ar"/>
        </w:rPr>
        <w:t>市、县（市、区）政府为其代缴最低标准的养老保险费，同时给予不低于30元的缴费补贴。缴费困难群体自行选择较高档次缴费的，按照相应缴费档次的补贴标准执行。参保人同时符合两个以上困难群体代缴身份的，不叠加享受代缴政策。</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jc w:val="both"/>
        <w:textAlignment w:val="auto"/>
        <w:outlineLvl w:val="9"/>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四）参保人应当逐年缴费。对达到待遇领取年龄但缴费年限达不到规定年限的参保人，允许办理待遇领取手续当年一次性补缴，但补缴不享受缴费补贴，不计入年限基础养老金的缴费年限，补缴后累计缴费年限不得超过</w:t>
      </w:r>
      <w:r>
        <w:rPr>
          <w:rFonts w:hint="eastAsia" w:ascii="仿宋_GB2312" w:hAnsi="仿宋_GB2312" w:eastAsia="仿宋_GB2312" w:cs="仿宋_GB2312"/>
          <w:color w:val="auto"/>
          <w:sz w:val="32"/>
          <w:szCs w:val="32"/>
          <w:lang w:val="en-US"/>
        </w:rPr>
        <w:t>15</w:t>
      </w:r>
      <w:r>
        <w:rPr>
          <w:rFonts w:hint="eastAsia" w:ascii="仿宋_GB2312" w:hAnsi="仿宋_GB2312" w:eastAsia="仿宋_GB2312" w:cs="仿宋_GB2312"/>
          <w:color w:val="auto"/>
          <w:sz w:val="32"/>
          <w:szCs w:val="32"/>
          <w:lang w:eastAsia="zh-CN"/>
        </w:rPr>
        <w:t>年，含按照城乡养老保险制度衔接转移的职工基本养老保险（以下简称“职工养老保险”）的缴费年限，不含原农保缴费年限。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kern w:val="2"/>
          <w:sz w:val="32"/>
          <w:szCs w:val="32"/>
          <w:lang w:val="en-US" w:eastAsia="zh-CN" w:bidi="ar"/>
        </w:rPr>
        <w:t>（五）落实居民养老保险待遇确定和基础养老金正常调整机制，统筹考虑城乡居民收入增长、物价变动和职工养老保险等其他社会保障标准调整情况，适时适度提高居民养老保险基础养老金最低标准。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黑体" w:hAnsi="宋体" w:eastAsia="黑体" w:cs="黑体"/>
          <w:color w:val="auto"/>
          <w:szCs w:val="32"/>
          <w:lang w:val="en-US"/>
        </w:rPr>
      </w:pPr>
      <w:r>
        <w:rPr>
          <w:rFonts w:hint="eastAsia" w:ascii="黑体" w:hAnsi="宋体" w:eastAsia="黑体" w:cs="黑体"/>
          <w:color w:val="auto"/>
          <w:kern w:val="2"/>
          <w:sz w:val="32"/>
          <w:szCs w:val="32"/>
          <w:lang w:val="en-US" w:eastAsia="zh-CN" w:bidi="ar"/>
        </w:rPr>
        <w:t>二、加强基金管理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kern w:val="2"/>
          <w:sz w:val="32"/>
          <w:szCs w:val="32"/>
          <w:lang w:val="en-US" w:eastAsia="zh-CN" w:bidi="ar"/>
        </w:rPr>
        <w:t>（一）严格执行居民养老保险基金管理各项政策规定，严格落实收支两条线制度，做到账账相符、账表相符、账实相符。不断优化存款结构，规范选择基金开户银行，严格执行优惠利率，在确保基金安全的前提下努力实现保值增值。健全政策、经办、信息、监督“四位一体”基金风险防控体系，认真抓好审计、巡视、检查等发现问题的整改，严厉打击侵占挪用基金等违法违规行为。全面开展居民养老保险资金预算绩效管理，对各地政策执行、基金管理等进行科学评估，评估结果与省级财政补助资金结算挂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kern w:val="2"/>
          <w:sz w:val="32"/>
          <w:szCs w:val="32"/>
          <w:lang w:val="en-US" w:eastAsia="zh-CN" w:bidi="ar"/>
        </w:rPr>
        <w:t>（二）根据《人力资源社会保障部财政部关于加快推进城乡居民基本养老保险基金委托投资工作的通知》（人社部发〔2018〕47号）要求，2017年及以后居民养老保险基金新增结余不少于80%的资金用于委托投资。各地要按要求及时足额上解结余基金，同时要合理确定新增结余基金存储结构和存储期限，避免定期存款提前支取，造成利息损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kern w:val="2"/>
          <w:sz w:val="32"/>
          <w:szCs w:val="32"/>
          <w:lang w:val="en-US" w:eastAsia="zh-CN" w:bidi="ar"/>
        </w:rPr>
        <w:t>（三）按照国家有关规定，进一步规范个人账户记账利率，将收益以记账方式归属于个人账户，维护参保人权益。个人账户记账利率，按照不低于中国人民银行公布的金融机构人民币一年期存款基准利率，由省人力资源社会保障厅、省财政厅根据上年度基金各项收益综合测算后统一确定。个人账户记账利率执行期为当年1月1日至12月31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黑体" w:hAnsi="宋体" w:eastAsia="黑体" w:cs="黑体"/>
          <w:color w:val="auto"/>
          <w:szCs w:val="32"/>
          <w:lang w:val="en-US"/>
        </w:rPr>
      </w:pPr>
      <w:r>
        <w:rPr>
          <w:rFonts w:hint="eastAsia" w:ascii="黑体" w:hAnsi="宋体" w:eastAsia="黑体" w:cs="黑体"/>
          <w:color w:val="auto"/>
          <w:kern w:val="2"/>
          <w:sz w:val="32"/>
          <w:szCs w:val="32"/>
          <w:lang w:val="en-US" w:eastAsia="zh-CN" w:bidi="ar"/>
        </w:rPr>
        <w:t>三、规范待遇领取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kern w:val="2"/>
          <w:sz w:val="32"/>
          <w:szCs w:val="32"/>
          <w:lang w:val="en-US" w:eastAsia="zh-CN" w:bidi="ar"/>
        </w:rPr>
        <w:t>（一）享受职工养老保险待遇、一至四级工伤职工伤残津贴、失业保险待遇、按照国发〔1978〕104号等文件规定领取退职生活费的人员，不得同时领取居民养老保险待遇。已经领取的待遇，按照《山东省人力资源和社会保障厅山东省财政厅关于转发人社厅发〔2019〕94号文件明确企业职工基本养老保险关系转移接续有关问题的通知》（鲁人社字〔2019〕226号）等规定予以追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kern w:val="2"/>
          <w:sz w:val="32"/>
          <w:szCs w:val="32"/>
          <w:lang w:val="en-US" w:eastAsia="zh-CN" w:bidi="ar"/>
        </w:rPr>
        <w:t>（二）领取企业或机关事业单位遗属生活困难补助、工亡职工供养亲属抚恤金、上世纪五六十年代企业或机关事业单位精简（减）退职人员生活困难补助费的人员，可同时享受居民养老保险待遇。</w:t>
      </w:r>
    </w:p>
    <w:p>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636"/>
        <w:jc w:val="both"/>
        <w:textAlignment w:val="auto"/>
        <w:rPr>
          <w:rFonts w:hint="eastAsia" w:ascii="仿宋_GB2312" w:hAnsi="仿宋" w:eastAsia="仿宋_GB2312" w:cs="Times New Roman"/>
          <w:b w:val="0"/>
          <w:bCs w:val="0"/>
          <w:color w:val="auto"/>
          <w:kern w:val="2"/>
          <w:sz w:val="32"/>
          <w:szCs w:val="32"/>
        </w:rPr>
      </w:pPr>
      <w:r>
        <w:rPr>
          <w:rFonts w:hint="eastAsia" w:ascii="仿宋_GB2312" w:hAnsi="仿宋_GB2312" w:eastAsia="仿宋_GB2312" w:cs="仿宋_GB2312"/>
          <w:b w:val="0"/>
          <w:bCs w:val="0"/>
          <w:color w:val="auto"/>
          <w:sz w:val="32"/>
          <w:szCs w:val="32"/>
          <w:lang w:eastAsia="zh-CN"/>
        </w:rPr>
        <w:t>（三）</w:t>
      </w:r>
      <w:r>
        <w:rPr>
          <w:rFonts w:hint="eastAsia" w:ascii="仿宋_GB2312" w:hAnsi="Calibri" w:eastAsia="仿宋_GB2312" w:cs="仿宋_GB2312"/>
          <w:b w:val="0"/>
          <w:bCs w:val="0"/>
          <w:color w:val="auto"/>
          <w:kern w:val="2"/>
          <w:sz w:val="32"/>
          <w:szCs w:val="32"/>
          <w:lang w:val="en-US" w:eastAsia="zh-CN" w:bidi="ar"/>
        </w:rPr>
        <w:t>参保人同时参加职工养老保险和居民养老保险的，符合居民养老保险待遇领取条件时，参保人选择延缴职工养老保险的，不得领取居民养老保险待遇；待符合职工养老保险待遇领取条件，</w:t>
      </w:r>
      <w:r>
        <w:rPr>
          <w:rFonts w:hint="eastAsia" w:ascii="仿宋_GB2312" w:hAnsi="仿宋" w:eastAsia="仿宋_GB2312" w:cs="仿宋_GB2312"/>
          <w:b w:val="0"/>
          <w:bCs w:val="0"/>
          <w:color w:val="auto"/>
          <w:kern w:val="2"/>
          <w:sz w:val="32"/>
          <w:szCs w:val="32"/>
          <w:lang w:val="en-US" w:eastAsia="zh-CN" w:bidi="ar"/>
        </w:rPr>
        <w:t>可以申请从居民养老保险转入职工养老保险，按照职工养老保险办法计发相应待遇</w:t>
      </w:r>
      <w:r>
        <w:rPr>
          <w:rFonts w:hint="eastAsia" w:ascii="仿宋_GB2312" w:hAnsi="Calibri" w:eastAsia="仿宋_GB2312" w:cs="仿宋_GB2312"/>
          <w:b w:val="0"/>
          <w:bCs w:val="0"/>
          <w:color w:val="auto"/>
          <w:kern w:val="2"/>
          <w:sz w:val="32"/>
          <w:szCs w:val="32"/>
          <w:lang w:val="en-US" w:eastAsia="zh-CN" w:bidi="ar"/>
        </w:rPr>
        <w:t>。</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jc w:val="both"/>
        <w:textAlignment w:val="auto"/>
        <w:outlineLvl w:val="9"/>
        <w:rPr>
          <w:color w:val="auto"/>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参保人领取居民养老保险待遇后，延缴职工养老保险的，暂停居民养老保险待遇，待领取职工养老保险待遇后，终止并解除居民养老保险关系，除政府补贴外的个人账户余额退还本人，已领取的居民养老保险基础养老金应予以退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kern w:val="2"/>
          <w:sz w:val="32"/>
          <w:szCs w:val="32"/>
          <w:lang w:val="en-US" w:eastAsia="zh-CN" w:bidi="ar"/>
        </w:rPr>
        <w:t>（四）居民养老保险养老金待遇领取人死亡的，相关人员在办理居民养老保险注销登记后，一次性发给丧葬补助金。对因未及时办理注销登记而多领取的居民养老保险待遇，可直接从被注销人员的个人账户余额和丧葬补助金中抵扣；不足抵扣的，应责令有关人员予以退还；拒不退还的，按程序移交有关部门依法处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both"/>
        <w:textAlignment w:val="auto"/>
        <w:outlineLvl w:val="9"/>
        <w:rPr>
          <w:rFonts w:hint="eastAsia" w:ascii="黑体" w:hAnsi="宋体" w:eastAsia="黑体" w:cs="黑体"/>
          <w:color w:val="auto"/>
          <w:szCs w:val="32"/>
          <w:lang w:val="en-US"/>
        </w:rPr>
      </w:pPr>
      <w:r>
        <w:rPr>
          <w:rFonts w:hint="eastAsia" w:ascii="黑体" w:hAnsi="宋体" w:eastAsia="黑体" w:cs="黑体"/>
          <w:color w:val="auto"/>
          <w:kern w:val="2"/>
          <w:sz w:val="32"/>
          <w:szCs w:val="32"/>
          <w:lang w:val="en-US" w:eastAsia="zh-CN" w:bidi="ar"/>
        </w:rPr>
        <w:t xml:space="preserve">    四、明确服刑人员相关政策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rPr>
          <w:rFonts w:hint="eastAsia" w:ascii="仿宋_GB2312" w:eastAsia="仿宋_GB2312" w:cs="仿宋_GB2312"/>
          <w:b/>
          <w:color w:val="auto"/>
          <w:kern w:val="2"/>
          <w:sz w:val="32"/>
          <w:szCs w:val="32"/>
        </w:rPr>
      </w:pPr>
      <w:r>
        <w:rPr>
          <w:rFonts w:hint="eastAsia" w:ascii="仿宋_GB2312" w:hAnsi="仿宋_GB2312" w:eastAsia="仿宋_GB2312" w:cs="仿宋_GB2312"/>
          <w:color w:val="auto"/>
          <w:kern w:val="2"/>
          <w:sz w:val="32"/>
          <w:szCs w:val="32"/>
          <w:lang w:val="en-US" w:eastAsia="zh-CN" w:bidi="ar"/>
        </w:rPr>
        <w:t>（一）</w:t>
      </w:r>
      <w:r>
        <w:rPr>
          <w:rFonts w:hint="eastAsia" w:ascii="仿宋_GB2312" w:hAnsi="Calibri" w:eastAsia="仿宋_GB2312" w:cs="仿宋_GB2312"/>
          <w:b w:val="0"/>
          <w:bCs w:val="0"/>
          <w:color w:val="auto"/>
          <w:kern w:val="2"/>
          <w:sz w:val="32"/>
          <w:szCs w:val="32"/>
          <w:lang w:val="en-US" w:eastAsia="zh-CN" w:bidi="ar"/>
        </w:rPr>
        <w:t>被判处拘役以上刑罚的人员，服刑期间不得领取待遇。</w:t>
      </w:r>
      <w:r>
        <w:rPr>
          <w:rFonts w:hint="eastAsia" w:ascii="仿宋_GB2312" w:hAnsi="Calibri" w:eastAsia="仿宋_GB2312" w:cs="仿宋_GB2312"/>
          <w:color w:val="auto"/>
          <w:kern w:val="2"/>
          <w:sz w:val="32"/>
          <w:szCs w:val="32"/>
          <w:lang w:val="en-US" w:eastAsia="zh-CN" w:bidi="ar"/>
        </w:rPr>
        <w:t>服刑期间领取待遇的</w:t>
      </w:r>
      <w:r>
        <w:rPr>
          <w:rFonts w:hint="eastAsia" w:ascii="仿宋_GB2312" w:hAnsi="仿宋_GB2312" w:eastAsia="仿宋_GB2312" w:cs="仿宋_GB2312"/>
          <w:color w:val="auto"/>
          <w:kern w:val="2"/>
          <w:sz w:val="32"/>
          <w:szCs w:val="32"/>
          <w:lang w:val="en-US" w:eastAsia="zh-CN" w:bidi="ar"/>
        </w:rPr>
        <w:t>，按规定予以追回。服刑期间达到待遇领取年龄的，暂缓办理待遇领取手续。服刑前领取待遇及服刑期间达到待遇领取年龄的，服刑期满后，符合待遇领取条件的，由本人提出领取申请，自服刑期满后的次月起领取待遇，其基础养老金按照服刑期满后待遇领取地最新标准执行。</w:t>
      </w:r>
      <w:r>
        <w:rPr>
          <w:rFonts w:hint="eastAsia" w:ascii="仿宋_GB2312" w:hAnsi="Calibri" w:eastAsia="仿宋_GB2312" w:cs="仿宋_GB2312"/>
          <w:b w:val="0"/>
          <w:bCs w:val="0"/>
          <w:color w:val="auto"/>
          <w:kern w:val="2"/>
          <w:sz w:val="32"/>
          <w:szCs w:val="32"/>
          <w:lang w:val="en-US" w:eastAsia="zh-CN" w:bidi="ar"/>
        </w:rPr>
        <w:t>服刑期满后，不符合待遇领取条件的，可按规定缴费或补缴，补缴可覆盖服刑年度，符合待遇领取条件时，按规定领取待遇。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rPr>
          <w:rFonts w:hint="eastAsia" w:ascii="仿宋_GB2312" w:eastAsia="仿宋_GB2312" w:cs="仿宋_GB2312"/>
          <w:b w:val="0"/>
          <w:bCs w:val="0"/>
          <w:color w:val="auto"/>
          <w:kern w:val="2"/>
          <w:sz w:val="32"/>
          <w:szCs w:val="32"/>
        </w:rPr>
      </w:pPr>
      <w:r>
        <w:rPr>
          <w:rFonts w:hint="eastAsia" w:ascii="仿宋_GB2312" w:hAnsi="仿宋_GB2312" w:eastAsia="仿宋_GB2312" w:cs="仿宋_GB2312"/>
          <w:color w:val="auto"/>
          <w:kern w:val="2"/>
          <w:sz w:val="32"/>
          <w:szCs w:val="32"/>
          <w:lang w:val="en-US" w:eastAsia="zh-CN" w:bidi="ar"/>
        </w:rPr>
        <w:t>（二）被判处管制、有期徒刑宣告缓刑、暂予监外执行、假释的人员，可按规定参保、缴费、领取待遇。已领取待遇人员可按判刑前的标准继续领取养老金，不参与基础养老金调整。服刑期满后，由本人提出领取申请，自服刑期满后的次月起其基础养老金按照服刑期满后待遇领取地最新标准执行。</w:t>
      </w:r>
      <w:r>
        <w:rPr>
          <w:rFonts w:hint="eastAsia" w:ascii="仿宋_GB2312" w:hAnsi="Calibri" w:eastAsia="仿宋_GB2312" w:cs="仿宋_GB2312"/>
          <w:b w:val="0"/>
          <w:bCs w:val="0"/>
          <w:color w:val="auto"/>
          <w:kern w:val="2"/>
          <w:sz w:val="32"/>
          <w:szCs w:val="32"/>
          <w:lang w:val="en-US" w:eastAsia="zh-CN" w:bidi="ar"/>
        </w:rPr>
        <w:t>被裁定撤销缓刑、假释继续服刑以及被决定暂予监外执行收监执行的，从裁定、决定作出之月起停止发放待遇。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b/>
          <w:color w:val="auto"/>
          <w:szCs w:val="32"/>
          <w:lang w:val="en-US"/>
        </w:rPr>
      </w:pPr>
      <w:r>
        <w:rPr>
          <w:rFonts w:hint="eastAsia" w:ascii="仿宋_GB2312" w:hAnsi="仿宋_GB2312" w:eastAsia="仿宋_GB2312" w:cs="仿宋_GB2312"/>
          <w:color w:val="auto"/>
          <w:kern w:val="2"/>
          <w:sz w:val="32"/>
          <w:szCs w:val="32"/>
          <w:lang w:val="en-US" w:eastAsia="zh-CN" w:bidi="ar"/>
        </w:rPr>
        <w:t>待遇领取人服刑期间死亡的，发给一次性丧葬补助金。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黑体" w:hAnsi="宋体" w:eastAsia="黑体" w:cs="黑体"/>
          <w:color w:val="auto"/>
          <w:szCs w:val="32"/>
          <w:lang w:val="en-US"/>
        </w:rPr>
      </w:pPr>
      <w:r>
        <w:rPr>
          <w:rFonts w:hint="eastAsia" w:ascii="黑体" w:hAnsi="宋体" w:eastAsia="黑体" w:cs="黑体"/>
          <w:color w:val="auto"/>
          <w:kern w:val="2"/>
          <w:sz w:val="32"/>
          <w:szCs w:val="32"/>
          <w:lang w:val="en-US" w:eastAsia="zh-CN" w:bidi="ar"/>
        </w:rPr>
        <w:t>五、稳妥处理历史遗留问题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rPr>
          <w:rFonts w:hint="eastAsia" w:ascii="仿宋_GB2312" w:eastAsia="仿宋_GB2312" w:cs="仿宋_GB2312"/>
          <w:b w:val="0"/>
          <w:bCs w:val="0"/>
          <w:color w:val="auto"/>
          <w:kern w:val="2"/>
          <w:sz w:val="32"/>
          <w:szCs w:val="32"/>
        </w:rPr>
      </w:pPr>
      <w:r>
        <w:rPr>
          <w:rFonts w:hint="eastAsia" w:ascii="仿宋_GB2312" w:hAnsi="Calibri" w:eastAsia="仿宋_GB2312" w:cs="仿宋_GB2312"/>
          <w:b w:val="0"/>
          <w:bCs w:val="0"/>
          <w:color w:val="auto"/>
          <w:kern w:val="2"/>
          <w:sz w:val="32"/>
          <w:szCs w:val="32"/>
          <w:lang w:val="en-US" w:eastAsia="zh-CN" w:bidi="ar"/>
        </w:rPr>
        <w:t>（一）新农保或城居保制度实施时不满60周岁的人员，年满60周岁时符合待遇领取条件，办理待遇领取手续后，自年满60周岁的次月起计发待遇。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rPr>
          <w:rFonts w:hint="eastAsia" w:ascii="仿宋_GB2312" w:eastAsia="仿宋_GB2312" w:cs="仿宋_GB2312"/>
          <w:b w:val="0"/>
          <w:bCs w:val="0"/>
          <w:color w:val="auto"/>
          <w:kern w:val="2"/>
          <w:sz w:val="32"/>
          <w:szCs w:val="32"/>
        </w:rPr>
      </w:pPr>
      <w:r>
        <w:rPr>
          <w:rFonts w:hint="default" w:ascii="仿宋_GB2312" w:hAnsi="Calibri" w:eastAsia="仿宋_GB2312" w:cs="仿宋_GB2312"/>
          <w:b w:val="0"/>
          <w:bCs w:val="0"/>
          <w:color w:val="auto"/>
          <w:kern w:val="2"/>
          <w:sz w:val="32"/>
          <w:szCs w:val="32"/>
          <w:lang w:eastAsia="zh-CN" w:bidi="ar"/>
        </w:rPr>
        <w:t>（二）</w:t>
      </w:r>
      <w:r>
        <w:rPr>
          <w:rFonts w:hint="eastAsia" w:ascii="仿宋_GB2312" w:hAnsi="Calibri" w:eastAsia="仿宋_GB2312" w:cs="仿宋_GB2312"/>
          <w:b w:val="0"/>
          <w:bCs w:val="0"/>
          <w:color w:val="auto"/>
          <w:kern w:val="2"/>
          <w:sz w:val="32"/>
          <w:szCs w:val="32"/>
          <w:lang w:val="en-US" w:eastAsia="zh-CN" w:bidi="ar"/>
        </w:rPr>
        <w:t>新农保或城居保制度实施时已年满60周岁且未办理参保登记手续人员，可自办理手续的次月起领取待遇，其中自愿增加缴费年限的，允许按规定补缴，自补缴费用到账后的次月起领取待遇。补办登记手续或补缴手续之前的待遇不予补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rPr>
          <w:rFonts w:hint="eastAsia" w:ascii="仿宋_GB2312" w:eastAsia="仿宋_GB2312" w:cs="仿宋_GB2312"/>
          <w:b w:val="0"/>
          <w:bCs w:val="0"/>
          <w:color w:val="auto"/>
          <w:kern w:val="2"/>
          <w:sz w:val="32"/>
          <w:szCs w:val="32"/>
        </w:rPr>
      </w:pPr>
      <w:r>
        <w:rPr>
          <w:rFonts w:hint="eastAsia" w:ascii="仿宋_GB2312" w:hAnsi="Calibri" w:eastAsia="仿宋_GB2312" w:cs="仿宋_GB2312"/>
          <w:b w:val="0"/>
          <w:bCs w:val="0"/>
          <w:color w:val="auto"/>
          <w:kern w:val="2"/>
          <w:sz w:val="32"/>
          <w:szCs w:val="32"/>
          <w:lang w:val="en-US" w:eastAsia="zh-CN" w:bidi="ar"/>
        </w:rPr>
        <w:t>（</w:t>
      </w:r>
      <w:r>
        <w:rPr>
          <w:rFonts w:hint="default" w:ascii="仿宋_GB2312" w:hAnsi="Calibri" w:eastAsia="仿宋_GB2312" w:cs="仿宋_GB2312"/>
          <w:b w:val="0"/>
          <w:bCs w:val="0"/>
          <w:color w:val="auto"/>
          <w:kern w:val="2"/>
          <w:sz w:val="32"/>
          <w:szCs w:val="32"/>
          <w:lang w:eastAsia="zh-CN" w:bidi="ar"/>
        </w:rPr>
        <w:t>三</w:t>
      </w:r>
      <w:r>
        <w:rPr>
          <w:rFonts w:hint="eastAsia" w:ascii="仿宋_GB2312" w:hAnsi="Calibri" w:eastAsia="仿宋_GB2312" w:cs="仿宋_GB2312"/>
          <w:b w:val="0"/>
          <w:bCs w:val="0"/>
          <w:color w:val="auto"/>
          <w:kern w:val="2"/>
          <w:sz w:val="32"/>
          <w:szCs w:val="32"/>
          <w:lang w:val="en-US" w:eastAsia="zh-CN" w:bidi="ar"/>
        </w:rPr>
        <w:t>）公安机关依据相关规定为参保人更正出生日期，参保人向社保经办机构申请更改年龄的，自参保人提出申请的次月起按更改后的年龄确定相应待遇，不溯及既往。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kern w:val="2"/>
          <w:sz w:val="32"/>
          <w:szCs w:val="32"/>
          <w:lang w:val="en-US" w:eastAsia="zh-CN" w:bidi="ar"/>
        </w:rPr>
        <w:t>（</w:t>
      </w:r>
      <w:r>
        <w:rPr>
          <w:rFonts w:hint="default" w:ascii="仿宋_GB2312" w:hAnsi="仿宋_GB2312" w:eastAsia="仿宋_GB2312" w:cs="仿宋_GB2312"/>
          <w:color w:val="auto"/>
          <w:kern w:val="2"/>
          <w:sz w:val="32"/>
          <w:szCs w:val="32"/>
          <w:lang w:eastAsia="zh-CN" w:bidi="ar"/>
        </w:rPr>
        <w:t>四</w:t>
      </w:r>
      <w:r>
        <w:rPr>
          <w:rFonts w:hint="eastAsia" w:ascii="仿宋_GB2312" w:hAnsi="仿宋_GB2312" w:eastAsia="仿宋_GB2312" w:cs="仿宋_GB2312"/>
          <w:color w:val="auto"/>
          <w:kern w:val="2"/>
          <w:sz w:val="32"/>
          <w:szCs w:val="32"/>
          <w:lang w:val="en-US" w:eastAsia="zh-CN" w:bidi="ar"/>
        </w:rPr>
        <w:t>）除提前领取待遇的重度残疾人个人账户养老金及超过60周岁的被征地农民因征地产生的社会养老保障资金计发系数外，居民养老保险个人账户养老金的月计发系数一律按139计算。已按其他系数计发待遇的不再调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color w:val="auto"/>
          <w:szCs w:val="32"/>
          <w:lang w:val="en-US"/>
        </w:rPr>
      </w:pPr>
      <w:r>
        <w:rPr>
          <w:rFonts w:hint="eastAsia" w:ascii="仿宋_GB2312" w:hAnsi="仿宋_GB2312" w:eastAsia="仿宋_GB2312" w:cs="仿宋_GB2312"/>
          <w:color w:val="auto"/>
          <w:kern w:val="2"/>
          <w:sz w:val="32"/>
          <w:szCs w:val="32"/>
          <w:lang w:val="en-US" w:eastAsia="zh-CN" w:bidi="ar"/>
        </w:rPr>
        <w:t>（</w:t>
      </w:r>
      <w:r>
        <w:rPr>
          <w:rFonts w:hint="default" w:ascii="仿宋_GB2312" w:hAnsi="仿宋_GB2312" w:eastAsia="仿宋_GB2312" w:cs="仿宋_GB2312"/>
          <w:color w:val="auto"/>
          <w:kern w:val="2"/>
          <w:sz w:val="32"/>
          <w:szCs w:val="32"/>
          <w:lang w:eastAsia="zh-CN" w:bidi="ar"/>
        </w:rPr>
        <w:t>五</w:t>
      </w:r>
      <w:r>
        <w:rPr>
          <w:rFonts w:hint="eastAsia" w:ascii="仿宋_GB2312" w:hAnsi="仿宋_GB2312" w:eastAsia="仿宋_GB2312" w:cs="仿宋_GB2312"/>
          <w:color w:val="auto"/>
          <w:kern w:val="2"/>
          <w:sz w:val="32"/>
          <w:szCs w:val="32"/>
          <w:lang w:val="en-US" w:eastAsia="zh-CN" w:bidi="ar"/>
        </w:rPr>
        <w:t>）重度残疾人申请提前领取待遇的，自办理待遇领取手续的次月起领取待遇，之前待遇不予补发。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both"/>
        <w:textAlignment w:val="auto"/>
        <w:outlineLvl w:val="9"/>
        <w:rPr>
          <w:rFonts w:hint="eastAsia" w:ascii="仿宋_GB2312" w:hAnsi="仿宋_GB2312" w:eastAsia="仿宋_GB2312" w:cs="仿宋_GB2312"/>
          <w:b/>
          <w:bCs/>
          <w:color w:val="auto"/>
          <w:szCs w:val="32"/>
          <w:lang w:val="en-US"/>
        </w:rPr>
      </w:pPr>
      <w:r>
        <w:rPr>
          <w:rFonts w:hint="eastAsia" w:ascii="仿宋_GB2312" w:hAnsi="仿宋_GB2312" w:eastAsia="仿宋_GB2312" w:cs="仿宋_GB2312"/>
          <w:color w:val="auto"/>
          <w:kern w:val="2"/>
          <w:sz w:val="32"/>
          <w:szCs w:val="32"/>
          <w:lang w:val="en-US" w:eastAsia="zh-CN" w:bidi="ar"/>
        </w:rPr>
        <w:t>本通知自印发之日起执行。已有规定与本通知不一致的，按本通知执行。</w:t>
      </w:r>
      <w:r>
        <w:rPr>
          <w:rFonts w:hint="eastAsia" w:ascii="仿宋_GB2312" w:hAnsi="Calibri" w:eastAsia="仿宋_GB2312" w:cs="仿宋_GB2312"/>
          <w:b w:val="0"/>
          <w:bCs w:val="0"/>
          <w:color w:val="auto"/>
          <w:kern w:val="2"/>
          <w:sz w:val="32"/>
          <w:szCs w:val="32"/>
          <w:lang w:val="en-US" w:eastAsia="zh-CN" w:bidi="ar"/>
        </w:rPr>
        <w:t>国家出台新规定的，从其规定。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32" w:firstLineChars="200"/>
        <w:jc w:val="both"/>
        <w:textAlignment w:val="auto"/>
        <w:outlineLvl w:val="9"/>
        <w:rPr>
          <w:rFonts w:hint="eastAsia" w:ascii="仿宋_GB2312" w:hAnsi="仿宋_GB2312" w:eastAsia="仿宋_GB2312" w:cs="仿宋_GB2312"/>
          <w:color w:val="auto"/>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firstLine="632" w:firstLineChars="200"/>
        <w:jc w:val="both"/>
        <w:textAlignment w:val="auto"/>
        <w:outlineLvl w:val="9"/>
        <w:rPr>
          <w:rFonts w:hint="eastAsia" w:ascii="仿宋_GB2312" w:hAnsi="仿宋_GB2312" w:eastAsia="仿宋_GB2312" w:cs="仿宋_GB2312"/>
          <w:color w:val="auto"/>
          <w:szCs w:val="32"/>
          <w:lang w:val="en-US"/>
        </w:rPr>
      </w:pPr>
    </w:p>
    <w:tbl>
      <w:tblPr>
        <w:tblStyle w:val="14"/>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530" w:type="dxa"/>
            <w:vAlign w:val="center"/>
          </w:tcPr>
          <w:p>
            <w:pPr>
              <w:pStyle w:val="6"/>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color w:val="auto"/>
                <w:vertAlign w:val="baseline"/>
                <w:lang w:val="en-US"/>
              </w:rPr>
            </w:pPr>
            <w:r>
              <w:rPr>
                <w:rFonts w:hint="eastAsia" w:ascii="仿宋_GB2312" w:hAnsi="仿宋_GB2312" w:eastAsia="仿宋_GB2312" w:cs="仿宋_GB2312"/>
                <w:color w:val="auto"/>
                <w:lang w:val="en-US" w:eastAsia="zh-CN"/>
              </w:rPr>
              <w:t>山东省人力资源和社会保障厅</w:t>
            </w:r>
          </w:p>
        </w:tc>
        <w:tc>
          <w:tcPr>
            <w:tcW w:w="4530" w:type="dxa"/>
            <w:vAlign w:val="center"/>
          </w:tcPr>
          <w:p>
            <w:pPr>
              <w:pStyle w:val="6"/>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color w:val="auto"/>
                <w:vertAlign w:val="baseline"/>
                <w:lang w:val="en-US"/>
              </w:rPr>
            </w:pPr>
            <w:r>
              <w:rPr>
                <w:rFonts w:hint="eastAsia" w:ascii="仿宋_GB2312" w:hAnsi="仿宋_GB2312" w:eastAsia="仿宋_GB2312" w:cs="仿宋_GB2312"/>
                <w:color w:val="auto"/>
                <w:lang w:val="en-US" w:eastAsia="zh-CN"/>
              </w:rPr>
              <w:t>山东省财政厅</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0" w:firstLineChars="0"/>
        <w:textAlignment w:val="auto"/>
        <w:outlineLvl w:val="9"/>
        <w:rPr>
          <w:rFonts w:hint="eastAsia" w:ascii="仿宋_GB2312" w:hAnsi="仿宋_GB2312" w:eastAsia="仿宋_GB2312" w:cs="仿宋_GB2312"/>
          <w:color w:val="auto"/>
          <w:lang w:val="en-US" w:eastAsia="zh-CN"/>
        </w:rPr>
      </w:pPr>
    </w:p>
    <w:p>
      <w:pPr>
        <w:pStyle w:val="15"/>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0" w:firstLineChars="0"/>
        <w:textAlignment w:val="auto"/>
        <w:outlineLvl w:val="9"/>
        <w:rPr>
          <w:rFonts w:hint="default" w:ascii="仿宋_GB2312" w:hAnsi="仿宋_GB2312" w:eastAsia="仿宋_GB2312" w:cs="仿宋_GB2312"/>
          <w:color w:val="auto"/>
          <w:lang w:eastAsia="zh-CN"/>
        </w:rPr>
      </w:pPr>
      <w:r>
        <w:rPr>
          <w:rFonts w:hint="default" w:ascii="仿宋_GB2312" w:hAnsi="仿宋_GB2312" w:eastAsia="仿宋_GB2312" w:cs="仿宋_GB2312"/>
          <w:color w:val="auto"/>
          <w:lang w:eastAsia="zh-CN"/>
        </w:rPr>
        <w:t xml:space="preserve"> </w:t>
      </w:r>
    </w:p>
    <w:tbl>
      <w:tblPr>
        <w:tblStyle w:val="13"/>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0"/>
        <w:gridCol w:w="4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530" w:type="dxa"/>
            <w:vAlign w:val="center"/>
          </w:tcPr>
          <w:p>
            <w:pPr>
              <w:pStyle w:val="6"/>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color w:val="auto"/>
                <w:vertAlign w:val="baseline"/>
                <w:lang w:val="en-US"/>
              </w:rPr>
            </w:pPr>
            <w:r>
              <w:rPr>
                <w:rFonts w:hint="eastAsia" w:ascii="仿宋_GB2312" w:hAnsi="仿宋_GB2312" w:eastAsia="仿宋_GB2312" w:cs="仿宋_GB2312"/>
                <w:color w:val="auto"/>
                <w:lang w:val="en-US" w:eastAsia="zh-CN"/>
              </w:rPr>
              <w:t>国家税务总局山东省税务局</w:t>
            </w:r>
          </w:p>
        </w:tc>
        <w:tc>
          <w:tcPr>
            <w:tcW w:w="4530" w:type="dxa"/>
            <w:vAlign w:val="center"/>
          </w:tcPr>
          <w:p>
            <w:pPr>
              <w:pStyle w:val="6"/>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right="0" w:rightChars="0"/>
              <w:jc w:val="center"/>
              <w:textAlignment w:val="auto"/>
              <w:outlineLvl w:val="9"/>
              <w:rPr>
                <w:rFonts w:hint="eastAsia"/>
                <w:color w:val="auto"/>
                <w:vertAlign w:val="baseline"/>
                <w:lang w:val="en-US"/>
              </w:rPr>
            </w:pPr>
            <w:r>
              <w:rPr>
                <w:rFonts w:hint="eastAsia" w:ascii="仿宋_GB2312" w:hAnsi="仿宋_GB2312" w:eastAsia="仿宋_GB2312" w:cs="仿宋_GB2312"/>
                <w:color w:val="auto"/>
                <w:lang w:val="en-US" w:eastAsia="zh-CN"/>
              </w:rPr>
              <w:t>国家税务总局青岛市税务局</w:t>
            </w:r>
          </w:p>
        </w:tc>
      </w:tr>
    </w:tbl>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right="0" w:rightChars="0"/>
        <w:jc w:val="both"/>
        <w:textAlignment w:val="auto"/>
        <w:outlineLvl w:val="9"/>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 xml:space="preserve">                                  2022年11月14日</w:t>
      </w:r>
    </w:p>
    <w:p>
      <w:pPr>
        <w:pStyle w:val="15"/>
        <w:ind w:left="0" w:leftChars="0" w:firstLine="0" w:firstLineChars="0"/>
        <w:rPr>
          <w:rFonts w:hint="eastAsia" w:ascii="仿宋_GB2312" w:hAnsi="仿宋_GB2312" w:eastAsia="仿宋_GB2312" w:cs="仿宋_GB2312"/>
          <w:color w:val="auto"/>
          <w:kern w:val="2"/>
          <w:sz w:val="32"/>
          <w:szCs w:val="32"/>
          <w:lang w:val="en-US" w:eastAsia="zh-CN" w:bidi="ar"/>
        </w:rPr>
      </w:pPr>
    </w:p>
    <w:p>
      <w:pPr>
        <w:pStyle w:val="15"/>
        <w:ind w:left="0" w:leftChars="0" w:firstLine="631" w:firstLineChars="0"/>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（此件主动公开）</w:t>
      </w:r>
    </w:p>
    <w:p>
      <w:pPr>
        <w:pStyle w:val="15"/>
        <w:ind w:left="0" w:leftChars="0" w:firstLine="631" w:firstLineChars="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auto"/>
          <w:kern w:val="2"/>
          <w:sz w:val="32"/>
          <w:szCs w:val="32"/>
          <w:lang w:val="en-US" w:eastAsia="zh-CN" w:bidi="ar"/>
        </w:rPr>
        <w:t>（</w:t>
      </w:r>
      <w:r>
        <w:rPr>
          <w:rFonts w:hint="eastAsia" w:ascii="仿宋_GB2312" w:hAnsi="仿宋_GB2312" w:eastAsia="仿宋_GB2312" w:cs="仿宋_GB2312"/>
          <w:bCs/>
          <w:sz w:val="32"/>
          <w:szCs w:val="32"/>
          <w:lang w:val="en-US" w:eastAsia="zh-CN"/>
        </w:rPr>
        <w:t>联系单位：省人力资源社会保障厅养老保险处）</w:t>
      </w:r>
    </w:p>
    <w:p>
      <w:pPr>
        <w:pStyle w:val="15"/>
        <w:rPr>
          <w:rFonts w:hint="eastAsia" w:ascii="仿宋_GB2312" w:hAnsi="仿宋_GB2312" w:eastAsia="仿宋_GB2312" w:cs="仿宋_GB2312"/>
          <w:bCs/>
          <w:sz w:val="32"/>
          <w:szCs w:val="32"/>
          <w:lang w:val="en-US" w:eastAsia="zh-CN"/>
        </w:rPr>
      </w:pPr>
    </w:p>
    <w:p>
      <w:pPr>
        <w:pStyle w:val="15"/>
        <w:rPr>
          <w:rFonts w:hint="eastAsia" w:ascii="仿宋_GB2312" w:hAnsi="仿宋_GB2312" w:eastAsia="仿宋_GB2312" w:cs="仿宋_GB2312"/>
          <w:bCs/>
          <w:sz w:val="32"/>
          <w:szCs w:val="32"/>
          <w:lang w:val="en-US" w:eastAsia="zh-CN"/>
        </w:rPr>
      </w:pPr>
    </w:p>
    <w:p>
      <w:pPr>
        <w:pStyle w:val="15"/>
        <w:rPr>
          <w:rFonts w:hint="eastAsia" w:ascii="仿宋_GB2312" w:hAnsi="仿宋_GB2312" w:eastAsia="仿宋_GB2312" w:cs="仿宋_GB2312"/>
          <w:bCs/>
          <w:sz w:val="32"/>
          <w:szCs w:val="32"/>
          <w:lang w:val="en-US" w:eastAsia="zh-CN"/>
        </w:rPr>
        <w:sectPr>
          <w:footerReference r:id="rId3" w:type="default"/>
          <w:pgSz w:w="11906" w:h="16838"/>
          <w:pgMar w:top="2098" w:right="1531" w:bottom="1814" w:left="1531" w:header="851" w:footer="1587" w:gutter="0"/>
          <w:paperSrc/>
          <w:cols w:space="0" w:num="1"/>
          <w:rtlGutter w:val="0"/>
          <w:docGrid w:type="linesAndChars" w:linePitch="587" w:charSpace="-849"/>
        </w:sect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p>
    <w:p>
      <w:pPr>
        <w:pStyle w:val="15"/>
        <w:ind w:left="0" w:leftChars="0" w:firstLine="0" w:firstLineChars="0"/>
        <w:rPr>
          <w:rFonts w:hint="eastAsia" w:ascii="仿宋_GB2312" w:hAnsi="仿宋_GB2312" w:eastAsia="仿宋_GB2312" w:cs="仿宋_GB2312"/>
          <w:bCs/>
          <w:sz w:val="32"/>
          <w:szCs w:val="32"/>
          <w:lang w:val="en-US" w:eastAsia="zh-CN"/>
        </w:rPr>
      </w:pPr>
      <w:bookmarkStart w:id="0" w:name="_GoBack"/>
      <w:bookmarkEnd w:id="0"/>
    </w:p>
    <w:p>
      <w:pPr>
        <w:pStyle w:val="15"/>
        <w:ind w:left="0" w:leftChars="0" w:firstLine="0" w:firstLineChars="0"/>
        <w:rPr>
          <w:rFonts w:hint="eastAsia" w:ascii="仿宋_GB2312" w:hAnsi="仿宋_GB2312" w:eastAsia="仿宋_GB2312" w:cs="仿宋_GB2312"/>
          <w:bCs/>
          <w:sz w:val="32"/>
          <w:szCs w:val="32"/>
          <w:lang w:val="en-US" w:eastAsia="zh-CN"/>
        </w:rPr>
      </w:pPr>
    </w:p>
    <w:p>
      <w:pPr>
        <w:ind w:firstLine="316" w:firstLineChars="100"/>
        <w:rPr>
          <w:rFonts w:hint="eastAsia" w:ascii="仿宋_GB2312" w:eastAsia="仿宋_GB2312"/>
          <w:color w:val="auto"/>
          <w:sz w:val="28"/>
          <w:szCs w:val="28"/>
        </w:rPr>
      </w:pPr>
      <w:r>
        <w:rPr>
          <w:rFonts w:hint="eastAsia" w:ascii="Calibri"/>
          <w:color w:val="auto"/>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-4445</wp:posOffset>
                </wp:positionV>
                <wp:extent cx="5615940" cy="0"/>
                <wp:effectExtent l="0" t="0" r="0" b="0"/>
                <wp:wrapNone/>
                <wp:docPr id="2" name="直接连接符 1"/>
                <wp:cNvGraphicFramePr/>
                <a:graphic xmlns:a="http://schemas.openxmlformats.org/drawingml/2006/main">
                  <a:graphicData uri="http://schemas.microsoft.com/office/word/2010/wordprocessingShape">
                    <wps:wsp>
                      <wps:cNvSpPr/>
                      <wps:spPr>
                        <a:xfrm>
                          <a:off x="0" y="0"/>
                          <a:ext cx="5615940" cy="0"/>
                        </a:xfrm>
                        <a:prstGeom prst="line">
                          <a:avLst/>
                        </a:prstGeom>
                        <a:ln w="15875" cap="flat" cmpd="sng">
                          <a:solidFill>
                            <a:srgbClr val="000000"/>
                          </a:solidFill>
                          <a:prstDash val="solid"/>
                          <a:round/>
                          <a:headEnd type="none" w="med" len="med"/>
                          <a:tailEnd type="none" w="med" len="med"/>
                        </a:ln>
                      </wps:spPr>
                      <wps:bodyPr upright="1"/>
                    </wps:wsp>
                  </a:graphicData>
                </a:graphic>
              </wp:anchor>
            </w:drawing>
          </mc:Choice>
          <mc:Fallback>
            <w:pict>
              <v:line id="直接连接符 1" o:spid="_x0000_s1026" o:spt="20" style="position:absolute;left:0pt;margin-top:-0.35pt;height:0pt;width:442.2pt;mso-position-horizontal:center;z-index:251663360;mso-width-relative:page;mso-height-relative:page;" filled="f" stroked="t" coordsize="21600,21600" o:gfxdata="UEsDBAoAAAAAAIdO4kAAAAAAAAAAAAAAAAAEAAAAZHJzL1BLAwQUAAAACACHTuJA42yOvNQAAAAE&#10;AQAADwAAAGRycy9kb3ducmV2LnhtbE2PzWrDMBCE74W+g9hAb4mcYmrjeh1CoNBLU5L2ATbWxja1&#10;VsZSfpynr9pLexxmmPmmXF1tr848+s4JwnKRgGKpnemkQfj8eJnnoHwgMdQ7YYSJPayq+7uSCuMu&#10;suPzPjQqlogvCKENYSi09nXLlvzCDSzRO7rRUohybLQZ6RLLba8fk+RJW+okLrQ08Kbl+mt/sgi7&#10;jdtm6yF9f92Gt2N2u01cNxPiw2yZPIMKfA1/YfjBj+hQRaaDO4nxqkeIRwLCPAMVzTxPU1CHX62r&#10;Uv+Hr74BUEsDBBQAAAAIAIdO4kCeVQeg3wEAAKEDAAAOAAAAZHJzL2Uyb0RvYy54bWytU0uOEzEQ&#10;3SNxB8t70smIDEMrnVkQhg2CkQYOUPGn25J/cjnp5BJcAIkdrFiy5zYMx6DsZDJ8NgjRi+qyq+q5&#10;3nN5cblzlm1VQhN8x2eTKWfKiyCN7zv+9s3VowvOMIOXYINXHd8r5JfLhw8WY2zVWRiClSoxAvHY&#10;jrHjQ86xbRoUg3KAkxCVp6AOyUGmZeobmWAkdGebs+n0vBlDkjEFoRBpd3UI8mXF11qJ/FprVJnZ&#10;jlNvudpU7brYZrmAtk8QByOObcA/dOHAeDr0BLWCDGyTzB9QzogUMOg8EcE1QWsjVOVAbGbT39jc&#10;DBBV5ULiYDzJhP8PVrzaXidmZMfPOPPg6Ipu33/59u7j968fyN5+/sRmRaQxYku5N/E6HVdIbmG8&#10;08mVP3Fhuyrs/iSs2mUmaHN+Pps/fUz6i7tYc18YE+YXKjhWnI5b4wtnaGH7EjMdRql3KWXbejbS&#10;pM0vnswJD2hmtIVMrovEAn1fizFYI6+MtaUEU79+ZhPbQpmC+hVOBPxLWjllBTgc8mroMB8pbLyk&#10;AmgHBfK5lyzvIynlaaR56cYpyZlV9AKKVzMzGPs3mdSE9dRLEfggafHWQe7pXjYxmX4gUeod1Bya&#10;g9r5cWbLoP28rkj3L2v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NsjrzUAAAABAEAAA8AAAAA&#10;AAAAAQAgAAAAIgAAAGRycy9kb3ducmV2LnhtbFBLAQIUABQAAAAIAIdO4kCeVQeg3wEAAKEDAAAO&#10;AAAAAAAAAAEAIAAAACMBAABkcnMvZTJvRG9jLnhtbFBLBQYAAAAABgAGAFkBAAB0BQAAAAA=&#10;">
                <v:path arrowok="t"/>
                <v:fill on="f" focussize="0,0"/>
                <v:stroke weight="1.25pt" joinstyle="round"/>
                <v:imagedata o:title=""/>
                <o:lock v:ext="edit" aspectratio="f"/>
              </v:line>
            </w:pict>
          </mc:Fallback>
        </mc:AlternateContent>
      </w:r>
      <w:r>
        <w:rPr>
          <w:rFonts w:hint="eastAsia" w:ascii="Calibri"/>
          <w:color w:val="auto"/>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374015</wp:posOffset>
                </wp:positionV>
                <wp:extent cx="5615940" cy="0"/>
                <wp:effectExtent l="0" t="0" r="0" b="0"/>
                <wp:wrapNone/>
                <wp:docPr id="3"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直接连接符 2" o:spid="_x0000_s1026" o:spt="20" style="position:absolute;left:0pt;margin-top:29.45pt;height:0pt;width:442.2pt;mso-position-horizontal:center;z-index:251662336;mso-width-relative:page;mso-height-relative:page;" filled="f" stroked="t" coordsize="21600,21600" o:gfxdata="UEsDBAoAAAAAAIdO4kAAAAAAAAAAAAAAAAAEAAAAZHJzL1BLAwQUAAAACACHTuJAzSQLbdYAAAAG&#10;AQAADwAAAGRycy9kb3ducmV2LnhtbE2PzU7DMBCE70i8g7VI3KjTqhQ3xOkBVFUgLm2Ret3GS5w2&#10;Xqex+8PbY8ShHHdmNPNtMbu4VpyoD41nDcNBBoK48qbhWsPnev6gQISIbLD1TBq+KcCsvL0pMDf+&#10;zEs6rWItUgmHHDXYGLtcylBZchgGviNO3pfvHcZ09rU0PZ5TuWvlKMsm0mHDacFiRy+Wqv3q6DTg&#10;62IZN2r0/tS82Y/den5YWHXQ+v5umD2DiHSJ1zD84id0KBPT1h/ZBNFqSI9EDY9qCiK5So3HILZ/&#10;giwL+R+//AFQSwMEFAAAAAgAh07iQF0nn23eAQAApQMAAA4AAABkcnMvZTJvRG9jLnhtbK1TS44T&#10;MRDdI3EHy3vSSWAGaKUziwnDBkEk4AAVf7ot+SeXJ51cggsgsYMVS/bchuEYlJ1MGGCDEL1wl11V&#10;z/Vev15c7JxlW5XQBN/x2WTKmfIiSOP7jr99c/XgCWeYwUuwwauO7xXyi+X9e4sxtmoehmClSoxA&#10;PLZj7PiQc2ybBsWgHOAkROUpqUNykGmb+kYmGAnd2WY+nZ43Y0gypiAUIp2uDkm+rPhaK5FfaY0q&#10;M9txmi3XNdV1U9ZmuYC2TxAHI45jwD9M4cB4uvQEtYIM7DqZP6CcESlg0HkigmuC1kaoyoHYzKa/&#10;sXk9QFSVC4mD8SQT/j9Y8XK7TszIjj/kzIOjT3Tz/su3dx+/f/1A683nT2xeRBojtlR76dfpuMO4&#10;ToXxTidX3sSF7aqw+5OwapeZoMOz89nZ00ekv7jNNT8bY8L8XAXHStBxa3zhDC1sX2Cmy6j0tqQc&#10;W89Gctr88bTgAXlGW8gUukgs0Pe1GYM18spYW1ow9ZtLm9gWigvqUzgR8C9l5ZYV4HCoq6mDPwYF&#10;8pmXLO8j6ePJyLzM4JTkzCryfYkIENoMxv5NJV1tfWlQ1aNHokXkg6wl2gS5p29zHZPpBxJmVmcu&#10;GfJCnf7o22K2u3uK7/5dy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NJAtt1gAAAAYBAAAPAAAA&#10;AAAAAAEAIAAAACIAAABkcnMvZG93bnJldi54bWxQSwECFAAUAAAACACHTuJAXSefbd4BAAClAwAA&#10;DgAAAAAAAAABACAAAAAlAQAAZHJzL2Uyb0RvYy54bWxQSwUGAAAAAAYABgBZAQAAdQUAAAAA&#10;">
                <v:path arrowok="t"/>
                <v:fill on="f" focussize="0,0"/>
                <v:stroke weight="1pt" joinstyle="round"/>
                <v:imagedata o:title=""/>
                <o:lock v:ext="edit" aspectratio="f"/>
              </v:line>
            </w:pict>
          </mc:Fallback>
        </mc:AlternateContent>
      </w:r>
      <w:r>
        <w:rPr>
          <w:rFonts w:hint="eastAsia" w:ascii="仿宋_GB2312" w:eastAsia="仿宋_GB2312"/>
          <w:color w:val="auto"/>
          <w:sz w:val="28"/>
          <w:szCs w:val="28"/>
        </w:rPr>
        <w:t xml:space="preserve">山东省人力资源和社会保障厅办公室    </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 xml:space="preserve">    202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年</w:t>
      </w:r>
      <w:r>
        <w:rPr>
          <w:rFonts w:hint="eastAsia" w:ascii="仿宋_GB2312" w:eastAsia="仿宋_GB2312"/>
          <w:color w:val="auto"/>
          <w:sz w:val="28"/>
          <w:szCs w:val="28"/>
          <w:lang w:val="en-US" w:eastAsia="zh-CN"/>
        </w:rPr>
        <w:t>11</w:t>
      </w:r>
      <w:r>
        <w:rPr>
          <w:rFonts w:hint="eastAsia" w:ascii="仿宋_GB2312" w:eastAsia="仿宋_GB2312"/>
          <w:color w:val="auto"/>
          <w:sz w:val="28"/>
          <w:szCs w:val="28"/>
        </w:rPr>
        <w:t>月日印发</w:t>
      </w:r>
    </w:p>
    <w:p>
      <w:pPr>
        <w:ind w:right="552" w:firstLine="316" w:firstLineChars="100"/>
        <w:rPr>
          <w:rFonts w:hint="eastAsia" w:eastAsia="仿宋_GB2312"/>
          <w:color w:val="auto"/>
          <w:lang w:eastAsia="zh-CN"/>
        </w:rPr>
      </w:pPr>
      <w:r>
        <w:rPr>
          <w:rFonts w:hint="eastAsia" w:ascii="Calibri"/>
          <w:color w:val="auto"/>
          <w:szCs w:val="22"/>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351790</wp:posOffset>
                </wp:positionV>
                <wp:extent cx="5615940" cy="0"/>
                <wp:effectExtent l="0" t="0" r="0" b="0"/>
                <wp:wrapNone/>
                <wp:docPr id="6"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直接连接符 3" o:spid="_x0000_s1026" o:spt="20" style="position:absolute;left:0pt;margin-top:27.7pt;height:0pt;width:442.2pt;mso-position-horizontal:center;z-index:251664384;mso-width-relative:page;mso-height-relative:page;" filled="f" stroked="t" coordsize="21600,21600" o:gfxdata="UEsDBAoAAAAAAIdO4kAAAAAAAAAAAAAAAAAEAAAAZHJzL1BLAwQUAAAACACHTuJAL60QidYAAAAG&#10;AQAADwAAAGRycy9kb3ducmV2LnhtbE2PzU7DQAyE70h9h5UrcaObopRGIZsKVULiQlELD+Bm3SQi&#10;642y25/06THiQG8ejzXzuVhdXKdONITWs4H5LAFFXHnbcm3g6/P1IQMVIrLFzjMZGCnAqpzcFZhb&#10;f+YtnXaxVhLCIUcDTYx9rnWoGnIYZr4nFu/gB4dR5FBrO+BZwl2nH5PkSTtsWRoa7GndUPW9OzoD&#10;27XfLF/69ONtE98Py+t1pKoejbmfzpNnUJEu8f8YfvEFHUph2vsj26A6A/JINLBYpKDEzbJUhv3f&#10;QpeFvsUvfwBQSwMEFAAAAAgAh07iQOfbJ4vhAQAApQMAAA4AAABkcnMvZTJvRG9jLnhtbK1TzW4T&#10;MRC+I/UdLN+bTQoJ7SqbHhrKBUEk4AEmtnfXkv/kcbPJS/ACSNzgxJF734byGIydNC1wQYg9eMee&#10;mc/zffvt/HJrDduoiNq7hk9GY86UE15q1zX8/bvr03POMIGTYLxTDd8p5JeLkyfzIdTqzPfeSBUZ&#10;gTish9DwPqVQVxWKXlnAkQ/KUbL10UKibewqGWEgdGuqs/F4Vg0+yhC9UIh0utwn+aLgt60S6U3b&#10;okrMNJxmS2WNZV3ntVrMoe4ihF6LwxjwD1NY0I4uPUItIQG7ifoPKKtF9OjbNBLeVr5ttVCFA7GZ&#10;jH9j87aHoAoXEgfDUSb8f7Di9WYVmZYNn3HmwNInuvv47fuHzz9uP9F69/ULe5pFGgLWVHvlVvGw&#10;w7CKmfG2jTa/iQvbFmF3R2HVNjFBh9PZZHrxjPQX97nqoTFETC+VtywHDTfaZc5Qw+YVJrqMSu9L&#10;8rFxbCCnTc+fTwkPyDOtgUShDcQCXVea0Rstr7UxuQVjt74ykW0gu6A8mRMB/1KWb1kC9vu6ktr7&#10;o1cgXzjJ0i6QPo6MzPMMVknOjCLf54gAoU6gzd9U0tXG5QZVPHogmkXey5qjtZc7+jY3IequJ2Em&#10;ZeacIS+U6Q++zWZ7vKf48d+1+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vrRCJ1gAAAAYBAAAP&#10;AAAAAAAAAAEAIAAAACIAAABkcnMvZG93bnJldi54bWxQSwECFAAUAAAACACHTuJA59sni+EBAACl&#10;AwAADgAAAAAAAAABACAAAAAlAQAAZHJzL2Uyb0RvYy54bWxQSwUGAAAAAAYABgBZAQAAeAUAAAAA&#10;">
                <v:path arrowok="t"/>
                <v:fill on="f" focussize="0,0"/>
                <v:stroke weight="1.25pt" joinstyle="round"/>
                <v:imagedata o:title=""/>
                <o:lock v:ext="edit" aspectratio="f"/>
              </v:line>
            </w:pict>
          </mc:Fallback>
        </mc:AlternateContent>
      </w:r>
      <w:r>
        <w:rPr>
          <w:rFonts w:hint="eastAsia" w:ascii="仿宋_GB2312" w:eastAsia="仿宋_GB2312"/>
          <w:color w:val="auto"/>
          <w:sz w:val="28"/>
          <w:szCs w:val="28"/>
        </w:rPr>
        <w:t>校核人：</w:t>
      </w:r>
      <w:r>
        <w:rPr>
          <w:rFonts w:hint="eastAsia" w:ascii="仿宋_GB2312" w:eastAsia="仿宋_GB2312"/>
          <w:color w:val="auto"/>
          <w:sz w:val="28"/>
          <w:szCs w:val="28"/>
          <w:lang w:eastAsia="zh-CN"/>
        </w:rPr>
        <w:t>吴爱梅</w:t>
      </w:r>
    </w:p>
    <w:p>
      <w:pPr>
        <w:pStyle w:val="15"/>
        <w:ind w:left="0" w:leftChars="0" w:firstLine="0" w:firstLineChars="0"/>
        <w:rPr>
          <w:rFonts w:hint="eastAsia" w:ascii="仿宋_GB2312" w:hAnsi="仿宋_GB2312" w:eastAsia="仿宋_GB2312" w:cs="仿宋_GB2312"/>
          <w:bCs/>
          <w:sz w:val="32"/>
          <w:szCs w:val="32"/>
          <w:lang w:val="en-US" w:eastAsia="zh-CN"/>
        </w:rPr>
      </w:pPr>
    </w:p>
    <w:sectPr>
      <w:pgSz w:w="11906" w:h="16838"/>
      <w:pgMar w:top="2098" w:right="1531" w:bottom="1814" w:left="1531" w:header="851" w:footer="1587" w:gutter="0"/>
      <w:paperSrc/>
      <w:cols w:space="0" w:num="1"/>
      <w:titlePg/>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0287" w:usb1="00000000" w:usb2="00000000" w:usb3="00000000" w:csb0="4000009F" w:csb1="DFD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287" w:usb1="00000000" w:usb2="00000000" w:usb3="00000000" w:csb0="4000009F" w:csb1="DFD7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汉仪书宋二KW">
    <w:altName w:val="宋体"/>
    <w:panose1 w:val="00020600040101010101"/>
    <w:charset w:val="86"/>
    <w:family w:val="auto"/>
    <w:pitch w:val="default"/>
    <w:sig w:usb0="00000000" w:usb1="00000000" w:usb2="00000016"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文星标宋">
    <w:panose1 w:val="0201060900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58"/>
  <w:drawingGridVerticalSpacing w:val="294"/>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D3"/>
    <w:rsid w:val="000658AF"/>
    <w:rsid w:val="000B7CAD"/>
    <w:rsid w:val="000D5852"/>
    <w:rsid w:val="00270B02"/>
    <w:rsid w:val="003F0519"/>
    <w:rsid w:val="004579E6"/>
    <w:rsid w:val="00460B0B"/>
    <w:rsid w:val="005F73D3"/>
    <w:rsid w:val="00826C99"/>
    <w:rsid w:val="009C5392"/>
    <w:rsid w:val="00BE17F5"/>
    <w:rsid w:val="00C20D20"/>
    <w:rsid w:val="00DA14F2"/>
    <w:rsid w:val="00DA69C2"/>
    <w:rsid w:val="00DB7767"/>
    <w:rsid w:val="00DC12AE"/>
    <w:rsid w:val="00DE3FA3"/>
    <w:rsid w:val="00EE7B0D"/>
    <w:rsid w:val="00F73743"/>
    <w:rsid w:val="04986A18"/>
    <w:rsid w:val="04E03F5E"/>
    <w:rsid w:val="07334A68"/>
    <w:rsid w:val="077332D3"/>
    <w:rsid w:val="0CAB115C"/>
    <w:rsid w:val="15712941"/>
    <w:rsid w:val="1C2E2D88"/>
    <w:rsid w:val="1CA86F95"/>
    <w:rsid w:val="1FF3439A"/>
    <w:rsid w:val="20605711"/>
    <w:rsid w:val="2295231C"/>
    <w:rsid w:val="238A43EC"/>
    <w:rsid w:val="25B711D2"/>
    <w:rsid w:val="2A2040CA"/>
    <w:rsid w:val="2B187613"/>
    <w:rsid w:val="2D865EEB"/>
    <w:rsid w:val="2DBD699C"/>
    <w:rsid w:val="320C4097"/>
    <w:rsid w:val="35C310CC"/>
    <w:rsid w:val="35D3712A"/>
    <w:rsid w:val="39A509BC"/>
    <w:rsid w:val="3A325F72"/>
    <w:rsid w:val="3DEF1731"/>
    <w:rsid w:val="3E2A10A6"/>
    <w:rsid w:val="40525E63"/>
    <w:rsid w:val="41561E1E"/>
    <w:rsid w:val="48047CC1"/>
    <w:rsid w:val="48CA1A1D"/>
    <w:rsid w:val="4BA175B3"/>
    <w:rsid w:val="4E9F2BF4"/>
    <w:rsid w:val="512007A8"/>
    <w:rsid w:val="54C967CD"/>
    <w:rsid w:val="56AD3AAD"/>
    <w:rsid w:val="58230A9F"/>
    <w:rsid w:val="5F004CA6"/>
    <w:rsid w:val="61C3658E"/>
    <w:rsid w:val="6287332D"/>
    <w:rsid w:val="6408720A"/>
    <w:rsid w:val="6525559E"/>
    <w:rsid w:val="67C07DDF"/>
    <w:rsid w:val="694E2DA1"/>
    <w:rsid w:val="6A9C5377"/>
    <w:rsid w:val="6AF52C89"/>
    <w:rsid w:val="6D1B5CC9"/>
    <w:rsid w:val="6F7764DA"/>
    <w:rsid w:val="73555F69"/>
    <w:rsid w:val="73FA9BDF"/>
    <w:rsid w:val="74BB342C"/>
    <w:rsid w:val="775E2F37"/>
    <w:rsid w:val="78CA2AF6"/>
    <w:rsid w:val="7D223385"/>
    <w:rsid w:val="7D744473"/>
    <w:rsid w:val="7FBFF232"/>
    <w:rsid w:val="7FFFA692"/>
    <w:rsid w:val="9AFA696D"/>
    <w:rsid w:val="EBD33D38"/>
    <w:rsid w:val="FBBFFF1D"/>
    <w:rsid w:val="FF7D3F1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uiPriority w:val="0"/>
    <w:pPr>
      <w:ind w:firstLine="420" w:firstLineChars="200"/>
    </w:pPr>
  </w:style>
  <w:style w:type="paragraph" w:styleId="3">
    <w:name w:val="Body Text Indent"/>
    <w:basedOn w:val="1"/>
    <w:uiPriority w:val="0"/>
    <w:pPr>
      <w:ind w:left="420" w:leftChars="200"/>
    </w:pPr>
  </w:style>
  <w:style w:type="paragraph" w:customStyle="1" w:styleId="4">
    <w:name w:val="Default"/>
    <w:qFormat/>
    <w:uiPriority w:val="0"/>
    <w:pPr>
      <w:widowControl w:val="0"/>
      <w:autoSpaceDE w:val="0"/>
      <w:autoSpaceDN w:val="0"/>
      <w:adjustRightInd w:val="0"/>
    </w:pPr>
    <w:rPr>
      <w:rFonts w:ascii="黑体" w:eastAsia="黑体" w:cs="黑体"/>
      <w:color w:val="000000"/>
      <w:sz w:val="32"/>
      <w:szCs w:val="24"/>
      <w:lang w:val="en-US" w:eastAsia="zh-CN" w:bidi="ar-SA"/>
    </w:rPr>
  </w:style>
  <w:style w:type="paragraph" w:styleId="5">
    <w:name w:val="index 5"/>
    <w:basedOn w:val="1"/>
    <w:next w:val="1"/>
    <w:qFormat/>
    <w:uiPriority w:val="0"/>
    <w:pPr>
      <w:ind w:left="1680"/>
    </w:pPr>
  </w:style>
  <w:style w:type="paragraph" w:styleId="6">
    <w:name w:val="Body Text"/>
    <w:basedOn w:val="1"/>
    <w:next w:val="7"/>
    <w:qFormat/>
    <w:uiPriority w:val="0"/>
    <w:pPr>
      <w:spacing w:after="120"/>
    </w:pPr>
  </w:style>
  <w:style w:type="paragraph" w:styleId="7">
    <w:name w:val="toc 2"/>
    <w:basedOn w:val="1"/>
    <w:next w:val="1"/>
    <w:qFormat/>
    <w:uiPriority w:val="0"/>
    <w:pPr>
      <w:ind w:left="420" w:leftChars="200" w:firstLine="560" w:firstLineChars="200"/>
      <w:jc w:val="left"/>
    </w:pPr>
    <w:rPr>
      <w:rFonts w:ascii="Times New Roman" w:hAnsi="Times New Roman"/>
      <w:sz w:val="28"/>
    </w:rPr>
  </w:style>
  <w:style w:type="paragraph" w:styleId="8">
    <w:name w:val="footer"/>
    <w:basedOn w:val="1"/>
    <w:next w:val="5"/>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9">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32"/>
      <w:szCs w:val="32"/>
      <w:lang w:val="en-US" w:eastAsia="zh-CN" w:bidi="ar-SA"/>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qFormat/>
    <w:uiPriority w:val="0"/>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Body Text First Indent1"/>
    <w:basedOn w:val="6"/>
    <w:qFormat/>
    <w:uiPriority w:val="0"/>
    <w:pPr>
      <w:widowControl/>
      <w:spacing w:after="0"/>
      <w:ind w:firstLine="420" w:firstLineChars="100"/>
      <w:textAlignment w:val="baseline"/>
    </w:pPr>
    <w:rPr>
      <w:rFonts w:ascii="Calibri" w:hAnsi="Calibri" w:eastAsia="宋体" w:cs="Times New Roman"/>
      <w:szCs w:val="20"/>
    </w:rPr>
  </w:style>
  <w:style w:type="character" w:customStyle="1" w:styleId="16">
    <w:name w:val="10"/>
    <w:basedOn w:val="11"/>
    <w:qFormat/>
    <w:uiPriority w:val="0"/>
    <w:rPr>
      <w:rFonts w:hint="default" w:ascii="Times New Roman" w:hAnsi="Times New Roman" w:cs="Times New Roman"/>
    </w:rPr>
  </w:style>
  <w:style w:type="character" w:customStyle="1" w:styleId="17">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F29C4E-060F-4F18-9D21-D8D41D900389}">
  <ds:schemaRefs/>
</ds:datastoreItem>
</file>

<file path=docProps/app.xml><?xml version="1.0" encoding="utf-8"?>
<Properties xmlns="http://schemas.openxmlformats.org/officeDocument/2006/extended-properties" xmlns:vt="http://schemas.openxmlformats.org/officeDocument/2006/docPropsVTypes">
  <Pages>1</Pages>
  <Words>290</Words>
  <Characters>1659</Characters>
  <Lines>1</Lines>
  <Paragraphs>1</Paragraphs>
  <TotalTime>0</TotalTime>
  <ScaleCrop>false</ScaleCrop>
  <LinksUpToDate>false</LinksUpToDate>
  <CharactersWithSpaces>1946</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2022-09-25T10:24:00Z</dcterms:created>
  <dc:creator>Administrator</dc:creator>
  <cp:lastModifiedBy>LTGX04</cp:lastModifiedBy>
  <cp:lastPrinted>2022-11-10T09:22:00Z</cp:lastPrinted>
  <dcterms:modified xsi:type="dcterms:W3CDTF">2022-11-14T09:05:24Z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