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Times New Roman" w:hAnsi="Times New Roman" w:eastAsia="黑体"/>
          <w:sz w:val="32"/>
          <w:szCs w:val="32"/>
          <w:lang w:bidi="ar"/>
        </w:rPr>
      </w:pPr>
      <w:r>
        <w:rPr>
          <w:rFonts w:ascii="Times New Roman" w:hAnsi="Times New Roman" w:eastAsia="黑体"/>
          <w:sz w:val="32"/>
          <w:szCs w:val="32"/>
          <w:lang w:bidi="ar"/>
        </w:rPr>
        <w:t>附件7</w:t>
      </w:r>
    </w:p>
    <w:p>
      <w:pPr>
        <w:spacing w:line="580" w:lineRule="exact"/>
        <w:jc w:val="left"/>
        <w:rPr>
          <w:rFonts w:ascii="Times New Roman" w:hAnsi="Times New Roman" w:eastAsia="黑体"/>
          <w:sz w:val="32"/>
          <w:szCs w:val="32"/>
          <w:lang w:bidi="ar"/>
        </w:rPr>
      </w:pPr>
    </w:p>
    <w:p>
      <w:pPr>
        <w:spacing w:line="500" w:lineRule="exact"/>
        <w:jc w:val="center"/>
        <w:rPr>
          <w:rFonts w:ascii="Times New Roman" w:hAnsi="Times New Roman" w:eastAsia="方正小标宋简体"/>
          <w:sz w:val="44"/>
          <w:szCs w:val="44"/>
        </w:rPr>
      </w:pPr>
      <w:r>
        <w:rPr>
          <w:rFonts w:ascii="Times New Roman" w:hAnsi="Times New Roman" w:eastAsia="方正小标宋简体"/>
          <w:sz w:val="44"/>
          <w:szCs w:val="44"/>
        </w:rPr>
        <w:t>委托划款协议</w:t>
      </w:r>
    </w:p>
    <w:p>
      <w:pPr>
        <w:spacing w:line="440" w:lineRule="exact"/>
        <w:jc w:val="center"/>
        <w:rPr>
          <w:rFonts w:ascii="Times New Roman" w:hAnsi="Times New Roman"/>
          <w:sz w:val="24"/>
        </w:rPr>
      </w:pPr>
    </w:p>
    <w:p>
      <w:pPr>
        <w:spacing w:line="440" w:lineRule="exact"/>
        <w:rPr>
          <w:rFonts w:ascii="Times New Roman" w:hAnsi="Times New Roman" w:eastAsia="仿宋_GB2312"/>
          <w:sz w:val="32"/>
          <w:szCs w:val="32"/>
        </w:rPr>
      </w:pPr>
      <w:r>
        <w:rPr>
          <w:rFonts w:ascii="Times New Roman" w:hAnsi="Times New Roman" w:eastAsia="仿宋_GB2312"/>
          <w:sz w:val="32"/>
          <w:szCs w:val="32"/>
        </w:rPr>
        <w:t>甲方：</w:t>
      </w:r>
      <w:r>
        <w:rPr>
          <w:rFonts w:ascii="Times New Roman" w:hAnsi="Times New Roman" w:eastAsia="仿宋_GB2312"/>
          <w:sz w:val="32"/>
          <w:szCs w:val="32"/>
          <w:u w:val="single"/>
        </w:rPr>
        <w:t xml:space="preserve">               </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32"/>
          <w:szCs w:val="32"/>
        </w:rPr>
      </w:pPr>
      <w:r>
        <w:rPr>
          <w:rFonts w:ascii="Times New Roman" w:hAnsi="Times New Roman" w:eastAsia="仿宋_GB2312"/>
          <w:sz w:val="32"/>
          <w:szCs w:val="32"/>
        </w:rPr>
        <w:t>乙方：</w:t>
      </w:r>
      <w:r>
        <w:rPr>
          <w:rFonts w:ascii="Times New Roman" w:hAnsi="Times New Roman" w:eastAsia="仿宋_GB2312"/>
          <w:sz w:val="32"/>
          <w:szCs w:val="32"/>
          <w:u w:val="single"/>
        </w:rPr>
        <w:t xml:space="preserve">               </w:t>
      </w:r>
      <w:r>
        <w:rPr>
          <w:rFonts w:ascii="Times New Roman" w:hAnsi="Times New Roman" w:eastAsia="仿宋_GB2312"/>
          <w:sz w:val="32"/>
          <w:szCs w:val="32"/>
        </w:rPr>
        <w:t>支行</w:t>
      </w:r>
    </w:p>
    <w:p>
      <w:pPr>
        <w:spacing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根据《社会保险基金财务制度》和我省企业职工基本养老保险省级统筹有关规定，经甲乙双方协商一致，甲方委托乙方进行以下划款：</w:t>
      </w:r>
    </w:p>
    <w:p>
      <w:pPr>
        <w:spacing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1.于每月末前第</w:t>
      </w:r>
      <w:r>
        <w:rPr>
          <w:rFonts w:ascii="Times New Roman" w:hAnsi="Times New Roman" w:eastAsia="仿宋_GB2312"/>
          <w:sz w:val="32"/>
          <w:szCs w:val="32"/>
          <w:u w:val="single"/>
        </w:rPr>
        <w:t xml:space="preserve">   </w:t>
      </w:r>
      <w:r>
        <w:rPr>
          <w:rFonts w:ascii="Times New Roman" w:hAnsi="Times New Roman" w:eastAsia="仿宋_GB2312"/>
          <w:sz w:val="32"/>
          <w:szCs w:val="32"/>
        </w:rPr>
        <w:t>个工作日，将甲方在乙方开设的企业职工基本养老保险基金收入户（户名：</w:t>
      </w:r>
      <w:r>
        <w:rPr>
          <w:rFonts w:ascii="Times New Roman" w:hAnsi="Times New Roman" w:eastAsia="仿宋_GB2312"/>
          <w:sz w:val="32"/>
          <w:szCs w:val="32"/>
          <w:u w:val="single"/>
        </w:rPr>
        <w:t xml:space="preserve">          </w:t>
      </w:r>
      <w:r>
        <w:rPr>
          <w:rFonts w:ascii="Times New Roman" w:hAnsi="Times New Roman" w:eastAsia="仿宋_GB2312"/>
          <w:sz w:val="32"/>
          <w:szCs w:val="32"/>
        </w:rPr>
        <w:t>，账号</w:t>
      </w:r>
      <w:r>
        <w:rPr>
          <w:rFonts w:ascii="Times New Roman" w:hAnsi="Times New Roman" w:eastAsia="仿宋_GB2312"/>
          <w:sz w:val="32"/>
          <w:szCs w:val="32"/>
          <w:u w:val="single"/>
        </w:rPr>
        <w:t xml:space="preserve">             </w:t>
      </w:r>
      <w:r>
        <w:rPr>
          <w:rFonts w:ascii="Times New Roman" w:hAnsi="Times New Roman" w:eastAsia="仿宋_GB2312"/>
          <w:sz w:val="32"/>
          <w:szCs w:val="32"/>
        </w:rPr>
        <w:t>）的余额自动全部划转至甲方企业职工基本养老保险基金收入户（开户银行：</w:t>
      </w:r>
      <w:r>
        <w:rPr>
          <w:rFonts w:ascii="Times New Roman" w:hAnsi="Times New Roman" w:eastAsia="仿宋_GB2312"/>
          <w:sz w:val="32"/>
          <w:szCs w:val="32"/>
          <w:u w:val="single"/>
        </w:rPr>
        <w:t xml:space="preserve">              </w:t>
      </w:r>
      <w:r>
        <w:rPr>
          <w:rFonts w:ascii="Times New Roman" w:hAnsi="Times New Roman" w:eastAsia="仿宋_GB2312"/>
          <w:sz w:val="32"/>
          <w:szCs w:val="32"/>
        </w:rPr>
        <w:t>，户名：</w:t>
      </w:r>
      <w:r>
        <w:rPr>
          <w:rFonts w:ascii="Times New Roman" w:hAnsi="Times New Roman" w:eastAsia="仿宋_GB2312"/>
          <w:sz w:val="32"/>
          <w:szCs w:val="32"/>
          <w:u w:val="single"/>
        </w:rPr>
        <w:t xml:space="preserve">                </w:t>
      </w:r>
      <w:r>
        <w:rPr>
          <w:rFonts w:ascii="Times New Roman" w:hAnsi="Times New Roman" w:eastAsia="仿宋_GB2312"/>
          <w:sz w:val="32"/>
          <w:szCs w:val="32"/>
        </w:rPr>
        <w:t>，账号：</w:t>
      </w:r>
      <w:r>
        <w:rPr>
          <w:rFonts w:ascii="Times New Roman" w:hAnsi="Times New Roman" w:eastAsia="仿宋_GB2312"/>
          <w:sz w:val="32"/>
          <w:szCs w:val="32"/>
          <w:u w:val="single"/>
        </w:rPr>
        <w:t xml:space="preserve">            </w:t>
      </w:r>
      <w:r>
        <w:rPr>
          <w:rFonts w:ascii="Times New Roman" w:hAnsi="Times New Roman" w:eastAsia="仿宋_GB2312"/>
          <w:sz w:val="32"/>
          <w:szCs w:val="32"/>
        </w:rPr>
        <w:t>），并及时向甲方传送有关票据。</w:t>
      </w:r>
    </w:p>
    <w:p>
      <w:pPr>
        <w:spacing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2.于每月末前第　个工作日，将甲方在乙方开设的企业职工基本养老保险基金收入户（户名：</w:t>
      </w:r>
      <w:r>
        <w:rPr>
          <w:rFonts w:ascii="Times New Roman" w:hAnsi="Times New Roman" w:eastAsia="仿宋_GB2312"/>
          <w:sz w:val="32"/>
          <w:szCs w:val="32"/>
          <w:u w:val="single"/>
        </w:rPr>
        <w:t xml:space="preserve">          </w:t>
      </w:r>
      <w:r>
        <w:rPr>
          <w:rFonts w:ascii="Times New Roman" w:hAnsi="Times New Roman" w:eastAsia="仿宋_GB2312"/>
          <w:sz w:val="32"/>
          <w:szCs w:val="32"/>
        </w:rPr>
        <w:t>，账号</w:t>
      </w:r>
      <w:r>
        <w:rPr>
          <w:rFonts w:ascii="Times New Roman" w:hAnsi="Times New Roman" w:eastAsia="仿宋_GB2312"/>
          <w:sz w:val="32"/>
          <w:szCs w:val="32"/>
          <w:u w:val="single"/>
        </w:rPr>
        <w:t xml:space="preserve">             </w:t>
      </w:r>
      <w:r>
        <w:rPr>
          <w:rFonts w:ascii="Times New Roman" w:hAnsi="Times New Roman" w:eastAsia="仿宋_GB2312"/>
          <w:sz w:val="32"/>
          <w:szCs w:val="32"/>
        </w:rPr>
        <w:t>）的余额自动全部划转至甲方上级社保经办机构企业职工基本养老保险基金收入户（开户银行：</w:t>
      </w:r>
      <w:r>
        <w:rPr>
          <w:rFonts w:ascii="Times New Roman" w:hAnsi="Times New Roman" w:eastAsia="仿宋_GB2312"/>
          <w:sz w:val="32"/>
          <w:szCs w:val="32"/>
          <w:u w:val="single"/>
        </w:rPr>
        <w:t xml:space="preserve">              </w:t>
      </w:r>
      <w:r>
        <w:rPr>
          <w:rFonts w:ascii="Times New Roman" w:hAnsi="Times New Roman" w:eastAsia="仿宋_GB2312"/>
          <w:sz w:val="32"/>
          <w:szCs w:val="32"/>
        </w:rPr>
        <w:t>，户名：</w:t>
      </w:r>
      <w:r>
        <w:rPr>
          <w:rFonts w:ascii="Times New Roman" w:hAnsi="Times New Roman" w:eastAsia="仿宋_GB2312"/>
          <w:sz w:val="32"/>
          <w:szCs w:val="32"/>
          <w:u w:val="single"/>
        </w:rPr>
        <w:t xml:space="preserve">                </w:t>
      </w:r>
      <w:r>
        <w:rPr>
          <w:rFonts w:ascii="Times New Roman" w:hAnsi="Times New Roman" w:eastAsia="仿宋_GB2312"/>
          <w:sz w:val="32"/>
          <w:szCs w:val="32"/>
        </w:rPr>
        <w:t>，账号：</w:t>
      </w:r>
      <w:r>
        <w:rPr>
          <w:rFonts w:ascii="Times New Roman" w:hAnsi="Times New Roman" w:eastAsia="仿宋_GB2312"/>
          <w:sz w:val="32"/>
          <w:szCs w:val="32"/>
          <w:u w:val="single"/>
        </w:rPr>
        <w:t xml:space="preserve">            </w:t>
      </w:r>
      <w:r>
        <w:rPr>
          <w:rFonts w:ascii="Times New Roman" w:hAnsi="Times New Roman" w:eastAsia="仿宋_GB2312"/>
          <w:sz w:val="32"/>
          <w:szCs w:val="32"/>
        </w:rPr>
        <w:t>），并及时向甲方传送有关票据。</w:t>
      </w:r>
    </w:p>
    <w:p>
      <w:pPr>
        <w:spacing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本协议书经甲、乙双方加盖公章之日起生效，合同有效期为叁年，合同到期10日前，若双方未提出异议，合同自动延期叁年。</w:t>
      </w:r>
    </w:p>
    <w:p>
      <w:pPr>
        <w:spacing w:line="440" w:lineRule="exact"/>
        <w:jc w:val="center"/>
        <w:rPr>
          <w:rFonts w:ascii="Times New Roman" w:hAnsi="Times New Roman" w:eastAsia="仿宋_GB2312"/>
          <w:sz w:val="32"/>
          <w:szCs w:val="32"/>
        </w:rPr>
      </w:pPr>
    </w:p>
    <w:p>
      <w:pPr>
        <w:spacing w:line="4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甲方（公章）                  乙方（公章）</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32"/>
          <w:szCs w:val="32"/>
        </w:rPr>
      </w:pPr>
    </w:p>
    <w:p>
      <w:pPr>
        <w:spacing w:line="440" w:lineRule="exact"/>
        <w:jc w:val="center"/>
        <w:rPr>
          <w:rFonts w:ascii="Times New Roman" w:hAnsi="Times New Roman" w:eastAsia="仿宋_GB2312"/>
          <w:sz w:val="32"/>
          <w:szCs w:val="32"/>
        </w:rPr>
        <w:sectPr>
          <w:pgSz w:w="12240" w:h="15840"/>
          <w:pgMar w:top="1928" w:right="1418" w:bottom="1474" w:left="1418" w:header="851" w:footer="992" w:gutter="0"/>
          <w:cols w:space="720" w:num="1"/>
          <w:docGrid w:type="lines" w:linePitch="319" w:charSpace="0"/>
        </w:sectPr>
      </w:pPr>
      <w:r>
        <w:rPr>
          <w:rFonts w:ascii="Times New Roman" w:hAnsi="Times New Roman" w:eastAsia="仿宋_GB2312"/>
          <w:sz w:val="32"/>
          <w:szCs w:val="32"/>
        </w:rPr>
        <w:t>年     月     日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850A0"/>
    <w:rsid w:val="5D28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2021-03-25T01:52:00Z</dcterms:created>
  <dc:creator>黄浩琳</dc:creator>
  <cp:lastModifiedBy>黄浩琳</cp:lastModifiedBy>
  <dcterms:modified xsi:type="dcterms:W3CDTF">2021-03-25T01:54:32Z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