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jc w:val="left"/>
        <w:rPr>
          <w:rFonts w:hint="default"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eastAsia="zh-CN"/>
        </w:rPr>
        <w:t>附件</w:t>
      </w:r>
      <w:r>
        <w:rPr>
          <w:rFonts w:hint="eastAsia" w:ascii="仿宋_GB2312" w:hAnsi="仿宋_GB2312" w:cs="仿宋_GB2312"/>
          <w:b w:val="0"/>
          <w:bCs w:val="0"/>
          <w:sz w:val="32"/>
          <w:szCs w:val="32"/>
          <w:lang w:val="en-US" w:eastAsia="zh-CN"/>
        </w:rPr>
        <w:t>1</w:t>
      </w:r>
    </w:p>
    <w:p>
      <w:pPr>
        <w:pStyle w:val="2"/>
        <w:numPr>
          <w:ilvl w:val="0"/>
          <w:numId w:val="0"/>
        </w:num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郑州住房公积金管理中心免予处罚</w:t>
      </w:r>
      <w:r>
        <w:rPr>
          <w:rFonts w:hint="eastAsia" w:ascii="方正小标宋简体" w:hAnsi="方正小标宋简体" w:eastAsia="方正小标宋简体" w:cs="方正小标宋简体"/>
          <w:b w:val="0"/>
          <w:bCs w:val="0"/>
          <w:sz w:val="44"/>
          <w:szCs w:val="44"/>
          <w:lang w:eastAsia="zh-CN"/>
        </w:rPr>
        <w:t>事项</w:t>
      </w:r>
      <w:r>
        <w:rPr>
          <w:rFonts w:hint="eastAsia" w:ascii="方正小标宋简体" w:hAnsi="方正小标宋简体" w:eastAsia="方正小标宋简体" w:cs="方正小标宋简体"/>
          <w:b w:val="0"/>
          <w:bCs w:val="0"/>
          <w:sz w:val="44"/>
          <w:szCs w:val="44"/>
        </w:rPr>
        <w:t>清单</w:t>
      </w:r>
    </w:p>
    <w:p>
      <w:pPr>
        <w:pStyle w:val="2"/>
        <w:numPr>
          <w:ilvl w:val="0"/>
          <w:numId w:val="0"/>
        </w:numPr>
        <w:jc w:val="center"/>
        <w:rPr>
          <w:rFonts w:hint="default" w:ascii="方正小标宋简体" w:hAnsi="方正小标宋简体" w:eastAsia="方正小标宋简体" w:cs="方正小标宋简体"/>
          <w:b w:val="0"/>
          <w:bCs w:val="0"/>
          <w:sz w:val="44"/>
          <w:szCs w:val="44"/>
          <w:lang w:val="en-US" w:eastAsia="zh-CN"/>
        </w:rPr>
      </w:pPr>
    </w:p>
    <w:tbl>
      <w:tblPr>
        <w:tblStyle w:val="4"/>
        <w:tblW w:w="14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770"/>
        <w:gridCol w:w="3660"/>
        <w:gridCol w:w="2010"/>
        <w:gridCol w:w="3735"/>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黑体" w:hAnsi="黑体" w:eastAsia="黑体" w:cs="黑体"/>
                <w:sz w:val="32"/>
                <w:szCs w:val="32"/>
              </w:rPr>
            </w:pPr>
            <w:r>
              <w:rPr>
                <w:rFonts w:hint="eastAsia" w:ascii="黑体" w:hAnsi="黑体" w:eastAsia="黑体" w:cs="黑体"/>
                <w:sz w:val="32"/>
                <w:szCs w:val="32"/>
              </w:rPr>
              <w:t>序号</w:t>
            </w:r>
          </w:p>
        </w:tc>
        <w:tc>
          <w:tcPr>
            <w:tcW w:w="177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黑体" w:hAnsi="黑体" w:eastAsia="黑体" w:cs="黑体"/>
                <w:sz w:val="32"/>
                <w:szCs w:val="32"/>
              </w:rPr>
            </w:pPr>
            <w:r>
              <w:rPr>
                <w:rFonts w:hint="eastAsia" w:ascii="黑体" w:hAnsi="黑体" w:eastAsia="黑体" w:cs="黑体"/>
                <w:sz w:val="32"/>
                <w:szCs w:val="32"/>
              </w:rPr>
              <w:t>事项名称</w:t>
            </w:r>
          </w:p>
        </w:tc>
        <w:tc>
          <w:tcPr>
            <w:tcW w:w="36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黑体" w:hAnsi="黑体" w:eastAsia="黑体" w:cs="黑体"/>
                <w:sz w:val="32"/>
                <w:szCs w:val="32"/>
              </w:rPr>
            </w:pPr>
            <w:r>
              <w:rPr>
                <w:rFonts w:hint="eastAsia" w:ascii="黑体" w:hAnsi="黑体" w:eastAsia="黑体" w:cs="黑体"/>
                <w:sz w:val="32"/>
                <w:szCs w:val="32"/>
              </w:rPr>
              <w:t>设定依据</w:t>
            </w:r>
          </w:p>
        </w:tc>
        <w:tc>
          <w:tcPr>
            <w:tcW w:w="201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黑体" w:hAnsi="黑体" w:eastAsia="黑体" w:cs="黑体"/>
                <w:sz w:val="32"/>
                <w:szCs w:val="32"/>
              </w:rPr>
            </w:pPr>
            <w:r>
              <w:rPr>
                <w:rFonts w:hint="eastAsia" w:ascii="黑体" w:hAnsi="黑体" w:eastAsia="黑体" w:cs="黑体"/>
                <w:sz w:val="32"/>
                <w:szCs w:val="32"/>
                <w:lang w:eastAsia="zh-CN"/>
              </w:rPr>
              <w:t>适用</w:t>
            </w:r>
            <w:r>
              <w:rPr>
                <w:rFonts w:hint="eastAsia" w:ascii="黑体" w:hAnsi="黑体" w:eastAsia="黑体" w:cs="黑体"/>
                <w:sz w:val="32"/>
                <w:szCs w:val="32"/>
              </w:rPr>
              <w:t>情形</w:t>
            </w:r>
          </w:p>
        </w:tc>
        <w:tc>
          <w:tcPr>
            <w:tcW w:w="373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免予处罚依据</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黑体"/>
                <w:sz w:val="24"/>
                <w:szCs w:val="32"/>
              </w:rPr>
            </w:pPr>
            <w:r>
              <w:rPr>
                <w:rFonts w:hint="eastAsia" w:ascii="仿宋" w:hAnsi="仿宋" w:eastAsia="仿宋" w:cs="黑体"/>
                <w:sz w:val="24"/>
                <w:szCs w:val="32"/>
              </w:rPr>
              <w:t>1</w:t>
            </w:r>
          </w:p>
        </w:tc>
        <w:tc>
          <w:tcPr>
            <w:tcW w:w="1770" w:type="dxa"/>
            <w:tcBorders>
              <w:top w:val="single" w:color="auto" w:sz="4" w:space="0"/>
              <w:left w:val="single" w:color="auto" w:sz="4" w:space="0"/>
              <w:bottom w:val="single" w:color="auto" w:sz="4" w:space="0"/>
              <w:right w:val="single" w:color="auto" w:sz="4" w:space="0"/>
            </w:tcBorders>
            <w:vAlign w:val="center"/>
          </w:tcPr>
          <w:p>
            <w:pPr>
              <w:spacing w:line="240" w:lineRule="auto"/>
              <w:ind w:left="0" w:leftChars="0" w:firstLine="0" w:firstLineChars="0"/>
              <w:jc w:val="left"/>
              <w:rPr>
                <w:rFonts w:ascii="仿宋" w:hAnsi="仿宋" w:eastAsia="仿宋" w:cs="黑体"/>
                <w:sz w:val="24"/>
                <w:szCs w:val="32"/>
              </w:rPr>
            </w:pPr>
            <w:r>
              <w:rPr>
                <w:rFonts w:hint="eastAsia" w:ascii="仿宋" w:hAnsi="仿宋" w:eastAsia="仿宋" w:cs="黑体"/>
                <w:sz w:val="24"/>
                <w:szCs w:val="32"/>
              </w:rPr>
              <w:t>单位不办理公积金缴存登记或不为单位职工办理公积金账户设立手续的处罚</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auto"/>
              <w:rPr>
                <w:rFonts w:ascii="仿宋" w:hAnsi="仿宋" w:eastAsia="仿宋" w:cs="黑体"/>
                <w:kern w:val="2"/>
                <w:sz w:val="24"/>
                <w:szCs w:val="32"/>
                <w:lang w:val="en-US" w:eastAsia="zh-CN" w:bidi="ar-SA"/>
              </w:rPr>
            </w:pPr>
            <w:r>
              <w:rPr>
                <w:rFonts w:hint="eastAsia" w:ascii="仿宋" w:hAnsi="仿宋" w:eastAsia="仿宋" w:cs="黑体"/>
                <w:sz w:val="24"/>
                <w:szCs w:val="32"/>
                <w:lang w:val="en-US" w:eastAsia="zh-CN"/>
              </w:rPr>
              <w:t>国务院《住房公积金管理条例》第三十七条 违反本条例的规定，单位不办理住房公积金缴存登记或者不为本单位职工办理住房公积金账户设立手续的，由住房公积金管理中心责令限期办理；逾期不办理的，处1万元以上5万元以下的罚款。</w:t>
            </w:r>
          </w:p>
        </w:tc>
        <w:tc>
          <w:tcPr>
            <w:tcW w:w="2010" w:type="dxa"/>
            <w:tcBorders>
              <w:top w:val="single" w:color="auto" w:sz="4" w:space="0"/>
              <w:left w:val="single" w:color="auto" w:sz="4" w:space="0"/>
              <w:bottom w:val="single" w:color="auto" w:sz="4" w:space="0"/>
              <w:right w:val="single" w:color="auto" w:sz="4" w:space="0"/>
            </w:tcBorders>
            <w:vAlign w:val="center"/>
          </w:tcPr>
          <w:p>
            <w:pPr>
              <w:spacing w:line="240" w:lineRule="auto"/>
              <w:ind w:left="0" w:leftChars="0" w:firstLine="0" w:firstLineChars="0"/>
              <w:jc w:val="left"/>
              <w:rPr>
                <w:rFonts w:ascii="仿宋" w:hAnsi="仿宋" w:eastAsia="仿宋" w:cs="黑体"/>
                <w:sz w:val="24"/>
                <w:szCs w:val="32"/>
              </w:rPr>
            </w:pPr>
            <w:r>
              <w:rPr>
                <w:rFonts w:hint="eastAsia" w:ascii="仿宋" w:hAnsi="仿宋" w:eastAsia="仿宋" w:cs="黑体"/>
                <w:sz w:val="24"/>
                <w:szCs w:val="32"/>
              </w:rPr>
              <w:t>在住房</w:t>
            </w:r>
            <w:r>
              <w:rPr>
                <w:rFonts w:hint="eastAsia" w:ascii="仿宋" w:hAnsi="仿宋" w:eastAsia="仿宋" w:cs="黑体"/>
                <w:sz w:val="24"/>
                <w:szCs w:val="32"/>
              </w:rPr>
              <w:fldChar w:fldCharType="begin"/>
            </w:r>
            <w:r>
              <w:rPr>
                <w:rFonts w:hint="eastAsia" w:ascii="仿宋" w:hAnsi="仿宋" w:eastAsia="仿宋" w:cs="黑体"/>
                <w:sz w:val="24"/>
                <w:szCs w:val="32"/>
              </w:rPr>
              <w:instrText xml:space="preserve"> HYPERLINK "http://www.zggjj.com/" \t "http://www.zggjj.com/gdwj/_blank" </w:instrText>
            </w:r>
            <w:r>
              <w:rPr>
                <w:rFonts w:hint="eastAsia" w:ascii="仿宋" w:hAnsi="仿宋" w:eastAsia="仿宋" w:cs="黑体"/>
                <w:sz w:val="24"/>
                <w:szCs w:val="32"/>
              </w:rPr>
              <w:fldChar w:fldCharType="separate"/>
            </w:r>
            <w:r>
              <w:rPr>
                <w:rFonts w:hint="eastAsia" w:ascii="仿宋" w:hAnsi="仿宋" w:eastAsia="仿宋" w:cs="黑体"/>
                <w:sz w:val="24"/>
                <w:szCs w:val="32"/>
              </w:rPr>
              <w:t>公积金</w:t>
            </w:r>
            <w:r>
              <w:rPr>
                <w:rFonts w:hint="eastAsia" w:ascii="仿宋" w:hAnsi="仿宋" w:eastAsia="仿宋" w:cs="黑体"/>
                <w:sz w:val="24"/>
                <w:szCs w:val="32"/>
              </w:rPr>
              <w:fldChar w:fldCharType="end"/>
            </w:r>
            <w:r>
              <w:rPr>
                <w:rFonts w:hint="eastAsia" w:ascii="仿宋" w:hAnsi="仿宋" w:eastAsia="仿宋" w:cs="黑体"/>
                <w:sz w:val="24"/>
                <w:szCs w:val="32"/>
              </w:rPr>
              <w:t>管理中心作出行政处罚决定前及时改正的，免于处罚。</w:t>
            </w:r>
          </w:p>
        </w:tc>
        <w:tc>
          <w:tcPr>
            <w:tcW w:w="373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sz w:val="24"/>
              </w:rPr>
            </w:pPr>
            <w:r>
              <w:rPr>
                <w:rStyle w:val="6"/>
                <w:rFonts w:hint="eastAsia" w:ascii="仿宋_GB2312" w:hAnsi="仿宋_GB2312" w:eastAsia="仿宋_GB2312" w:cs="仿宋_GB2312"/>
                <w:b w:val="0"/>
                <w:bCs/>
                <w:i w:val="0"/>
                <w:iCs w:val="0"/>
                <w:caps w:val="0"/>
                <w:color w:val="333333"/>
                <w:spacing w:val="0"/>
                <w:sz w:val="24"/>
                <w:szCs w:val="24"/>
                <w:lang w:eastAsia="zh-CN"/>
              </w:rPr>
              <w:t>《行政处罚法》</w:t>
            </w:r>
            <w:r>
              <w:rPr>
                <w:rStyle w:val="6"/>
                <w:rFonts w:ascii="仿宋_GB2312" w:hAnsi="仿宋_GB2312" w:eastAsia="仿宋_GB2312" w:cs="仿宋_GB2312"/>
                <w:b w:val="0"/>
                <w:bCs/>
                <w:i w:val="0"/>
                <w:iCs w:val="0"/>
                <w:caps w:val="0"/>
                <w:color w:val="333333"/>
                <w:spacing w:val="0"/>
                <w:sz w:val="24"/>
                <w:szCs w:val="24"/>
              </w:rPr>
              <w:t>第三十三条</w:t>
            </w:r>
            <w:r>
              <w:rPr>
                <w:rFonts w:hint="default" w:ascii="仿宋_GB2312" w:hAnsi="仿宋_GB2312" w:eastAsia="仿宋_GB2312" w:cs="仿宋_GB2312"/>
                <w:i w:val="0"/>
                <w:iCs w:val="0"/>
                <w:caps w:val="0"/>
                <w:color w:val="333333"/>
                <w:spacing w:val="0"/>
                <w:sz w:val="24"/>
                <w:szCs w:val="24"/>
              </w:rPr>
              <w:t>违法行为轻微并及时改正，没有造成危害后果的，不予行政处罚。初次违法且危害后果轻微并及时改正的，可以不予行政处罚。</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sz w:val="24"/>
              </w:rPr>
            </w:pPr>
          </w:p>
        </w:tc>
      </w:tr>
    </w:tbl>
    <w:p>
      <w:pPr>
        <w:ind w:left="0" w:leftChars="0" w:firstLine="0" w:firstLineChars="0"/>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3ZWE0OTA3ZTJhYjk5NDM4NmJlZGI4YjhmNDA1YWQifQ=="/>
  </w:docVars>
  <w:rsids>
    <w:rsidRoot w:val="5D5A6318"/>
    <w:rsid w:val="5D5A6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eastAsia="仿宋_GB2312" w:asciiTheme="minorAscii" w:hAnsiTheme="minorAscii" w:cstheme="minorBidi"/>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首缩两字 Char"/>
    <w:basedOn w:val="1"/>
    <w:qFormat/>
    <w:uiPriority w:val="0"/>
    <w:rPr>
      <w:rFonts w:ascii="Verdana" w:hAnsi="Verdana"/>
    </w:r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2022-12-09T09:03:00Z</dcterms:created>
  <dc:creator>我心永恒</dc:creator>
  <cp:lastModifiedBy>我心永恒</cp:lastModifiedBy>
  <dcterms:modified xsi:type="dcterms:W3CDTF">2022-12-09T09:05:04Z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19CDA566A43C4C59B2DF93FED0273E47</vt:lpwstr>
  </property>
</Properties>
</file>