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default" w:ascii="黑体" w:hAnsi="黑体" w:eastAsia="黑体" w:cs="黑体"/>
          <w:b w:val="0"/>
          <w:bCs w:val="0"/>
          <w:kern w:val="2"/>
          <w:sz w:val="32"/>
          <w:szCs w:val="32"/>
          <w:lang w:val="en-US" w:eastAsia="zh-CN" w:bidi="ar"/>
        </w:rPr>
      </w:pPr>
      <w:bookmarkStart w:id="0" w:name="_GoBack"/>
      <w:bookmarkEnd w:id="0"/>
      <w:r>
        <w:rPr>
          <w:rFonts w:hint="eastAsia" w:ascii="黑体" w:hAnsi="黑体" w:eastAsia="黑体" w:cs="黑体"/>
          <w:b w:val="0"/>
          <w:bCs w:val="0"/>
          <w:kern w:val="2"/>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省内无异地信息平台准备工作安排</w:t>
      </w:r>
    </w:p>
    <w:tbl>
      <w:tblPr>
        <w:tblStyle w:val="3"/>
        <w:tblpPr w:leftFromText="180" w:rightFromText="180" w:vertAnchor="text" w:horzAnchor="page" w:tblpX="1263" w:tblpY="286"/>
        <w:tblOverlap w:val="never"/>
        <w:tblW w:w="14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20"/>
        <w:gridCol w:w="8410"/>
        <w:gridCol w:w="1540"/>
        <w:gridCol w:w="14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9" w:hRule="atLeast"/>
          <w:tblHeader/>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i w:val="0"/>
                <w:color w:val="000000"/>
                <w:kern w:val="2"/>
                <w:sz w:val="24"/>
                <w:szCs w:val="24"/>
              </w:rPr>
            </w:pPr>
            <w:r>
              <w:rPr>
                <w:rFonts w:hint="eastAsia" w:ascii="黑体" w:hAnsi="黑体" w:eastAsia="黑体" w:cs="黑体"/>
                <w:b w:val="0"/>
                <w:bCs/>
                <w:i w:val="0"/>
                <w:color w:val="000000"/>
                <w:kern w:val="0"/>
                <w:sz w:val="24"/>
                <w:szCs w:val="24"/>
                <w:lang w:val="en-US" w:eastAsia="zh-CN" w:bidi="ar"/>
              </w:rPr>
              <w:t>事项</w:t>
            </w:r>
          </w:p>
        </w:tc>
        <w:tc>
          <w:tcPr>
            <w:tcW w:w="8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i w:val="0"/>
                <w:color w:val="000000"/>
                <w:kern w:val="2"/>
                <w:sz w:val="24"/>
                <w:szCs w:val="24"/>
              </w:rPr>
            </w:pPr>
            <w:r>
              <w:rPr>
                <w:rFonts w:hint="eastAsia" w:ascii="黑体" w:hAnsi="黑体" w:eastAsia="黑体" w:cs="黑体"/>
                <w:b w:val="0"/>
                <w:bCs/>
                <w:i w:val="0"/>
                <w:color w:val="000000"/>
                <w:kern w:val="0"/>
                <w:sz w:val="24"/>
                <w:szCs w:val="24"/>
                <w:lang w:val="en-US" w:eastAsia="zh-CN" w:bidi="ar"/>
              </w:rPr>
              <w:t>具体工作内容</w:t>
            </w:r>
          </w:p>
        </w:tc>
        <w:tc>
          <w:tcPr>
            <w:tcW w:w="1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i w:val="0"/>
                <w:color w:val="000000"/>
                <w:kern w:val="2"/>
                <w:sz w:val="24"/>
                <w:szCs w:val="24"/>
              </w:rPr>
            </w:pPr>
            <w:r>
              <w:rPr>
                <w:rFonts w:hint="eastAsia" w:ascii="黑体" w:hAnsi="黑体" w:eastAsia="黑体" w:cs="黑体"/>
                <w:b w:val="0"/>
                <w:bCs/>
                <w:i w:val="0"/>
                <w:color w:val="000000"/>
                <w:kern w:val="0"/>
                <w:sz w:val="24"/>
                <w:szCs w:val="24"/>
                <w:lang w:val="en-US" w:eastAsia="zh-CN" w:bidi="ar"/>
              </w:rPr>
              <w:t>开始时间</w:t>
            </w: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i w:val="0"/>
                <w:color w:val="000000"/>
                <w:kern w:val="2"/>
                <w:sz w:val="24"/>
                <w:szCs w:val="24"/>
              </w:rPr>
            </w:pPr>
            <w:r>
              <w:rPr>
                <w:rFonts w:hint="eastAsia" w:ascii="黑体" w:hAnsi="黑体" w:eastAsia="黑体" w:cs="黑体"/>
                <w:b w:val="0"/>
                <w:bCs/>
                <w:i w:val="0"/>
                <w:color w:val="000000"/>
                <w:kern w:val="0"/>
                <w:sz w:val="24"/>
                <w:szCs w:val="24"/>
                <w:lang w:val="en-US" w:eastAsia="zh-CN" w:bidi="ar"/>
              </w:rPr>
              <w:t>完成时间</w:t>
            </w:r>
          </w:p>
        </w:tc>
        <w:tc>
          <w:tcPr>
            <w:tcW w:w="12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i w:val="0"/>
                <w:color w:val="000000"/>
                <w:kern w:val="0"/>
                <w:sz w:val="24"/>
                <w:szCs w:val="24"/>
                <w:lang w:val="en-US" w:eastAsia="zh-CN" w:bidi="ar"/>
              </w:rPr>
            </w:pPr>
            <w:r>
              <w:rPr>
                <w:rFonts w:hint="eastAsia" w:ascii="黑体" w:hAnsi="黑体" w:eastAsia="黑体" w:cs="黑体"/>
                <w:b w:val="0"/>
                <w:bCs/>
                <w:i w:val="0"/>
                <w:color w:val="000000"/>
                <w:kern w:val="0"/>
                <w:sz w:val="24"/>
                <w:szCs w:val="24"/>
                <w:lang w:val="en-US" w:eastAsia="zh-CN" w:bidi="ar"/>
              </w:rPr>
              <w:t>实施方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支付政策调整</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lang w:eastAsia="zh-CN"/>
              </w:rPr>
            </w:pPr>
            <w:r>
              <w:rPr>
                <w:rFonts w:hint="eastAsia" w:ascii="仿宋_GB2312" w:hAnsi="仿宋_GB2312" w:eastAsia="仿宋_GB2312" w:cs="仿宋_GB2312"/>
                <w:i w:val="0"/>
                <w:color w:val="000000"/>
                <w:kern w:val="0"/>
                <w:sz w:val="24"/>
                <w:szCs w:val="24"/>
                <w:lang w:val="en-US" w:eastAsia="zh-CN" w:bidi="ar"/>
              </w:rPr>
              <w:t>（</w:t>
            </w:r>
            <w:r>
              <w:rPr>
                <w:rFonts w:hint="eastAsia" w:ascii="仿宋_GB2312" w:hAnsi="仿宋_GB2312" w:eastAsia="仿宋_GB2312" w:cs="仿宋_GB2312"/>
                <w:i w:val="0"/>
                <w:color w:val="000000"/>
                <w:kern w:val="0"/>
                <w:sz w:val="24"/>
                <w:szCs w:val="24"/>
                <w:lang w:val="en-US" w:eastAsia="zh-Hans" w:bidi="ar"/>
              </w:rPr>
              <w:t>测试环境</w:t>
            </w:r>
            <w:r>
              <w:rPr>
                <w:rFonts w:hint="eastAsia" w:ascii="仿宋_GB2312" w:hAnsi="仿宋_GB2312" w:eastAsia="仿宋_GB2312" w:cs="仿宋_GB2312"/>
                <w:i w:val="0"/>
                <w:color w:val="000000"/>
                <w:kern w:val="0"/>
                <w:sz w:val="24"/>
                <w:szCs w:val="24"/>
                <w:lang w:val="en-US" w:eastAsia="zh-CN" w:bidi="ar"/>
              </w:rPr>
              <w:t>）</w:t>
            </w:r>
          </w:p>
        </w:tc>
        <w:tc>
          <w:tcPr>
            <w:tcW w:w="84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2"/>
                <w:sz w:val="24"/>
                <w:szCs w:val="24"/>
                <w:lang w:val="en-US" w:eastAsia="zh-CN"/>
              </w:rPr>
              <w:t>1.调整国家统一医保信息平台异地就医管理子系统、国家统一医保信息平台公共服务子系统异地就医备案模块</w:t>
            </w:r>
            <w:r>
              <w:rPr>
                <w:rFonts w:hint="eastAsia" w:ascii="仿宋_GB2312" w:hAnsi="仿宋_GB2312" w:eastAsia="仿宋_GB2312" w:cs="仿宋_GB2312"/>
                <w:b/>
                <w:bCs/>
                <w:i w:val="0"/>
                <w:color w:val="000000"/>
                <w:kern w:val="0"/>
                <w:sz w:val="24"/>
                <w:szCs w:val="24"/>
                <w:lang w:val="en-US" w:eastAsia="zh-CN" w:bidi="ar"/>
              </w:rPr>
              <w:t>（省医保局负责）</w:t>
            </w:r>
            <w:r>
              <w:rPr>
                <w:rFonts w:hint="eastAsia" w:ascii="仿宋_GB2312" w:hAnsi="仿宋_GB2312" w:eastAsia="仿宋_GB2312" w:cs="仿宋_GB2312"/>
                <w:i w:val="0"/>
                <w:color w:val="000000"/>
                <w:kern w:val="2"/>
                <w:sz w:val="24"/>
                <w:szCs w:val="24"/>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2"/>
                <w:sz w:val="24"/>
                <w:szCs w:val="24"/>
                <w:lang w:val="en-US" w:eastAsia="zh-CN"/>
              </w:rPr>
              <w:t>2.调整国家统一医保信息平台门诊慢（特）病管理子系统，增加慢病用药信息查询模块，为市、县医保部门、医院医保医师提供患者慢（特）认定、就医、用药历史查询。</w:t>
            </w:r>
            <w:r>
              <w:rPr>
                <w:rFonts w:hint="eastAsia" w:ascii="仿宋_GB2312" w:hAnsi="仿宋_GB2312" w:eastAsia="仿宋_GB2312" w:cs="仿宋_GB2312"/>
                <w:b/>
                <w:bCs/>
                <w:i w:val="0"/>
                <w:color w:val="000000"/>
                <w:kern w:val="0"/>
                <w:sz w:val="24"/>
                <w:szCs w:val="24"/>
                <w:lang w:val="en-US" w:eastAsia="zh-CN" w:bidi="ar"/>
              </w:rPr>
              <w:t>（省医保局负责）</w:t>
            </w:r>
            <w:r>
              <w:rPr>
                <w:rFonts w:hint="eastAsia" w:ascii="仿宋_GB2312" w:hAnsi="仿宋_GB2312" w:eastAsia="仿宋_GB2312" w:cs="仿宋_GB2312"/>
                <w:i w:val="0"/>
                <w:color w:val="000000"/>
                <w:kern w:val="2"/>
                <w:sz w:val="24"/>
                <w:szCs w:val="24"/>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3.各市级统筹区使用市级管理员账户，在支付方式管理子系统中调整住院结算相关政策，实现省内异地与本地待遇计算方式相同且不再验证备案信息</w:t>
            </w:r>
            <w:r>
              <w:rPr>
                <w:rFonts w:hint="eastAsia" w:ascii="仿宋_GB2312" w:hAnsi="仿宋_GB2312" w:eastAsia="仿宋_GB2312" w:cs="仿宋_GB2312"/>
                <w:b/>
                <w:bCs/>
                <w:i w:val="0"/>
                <w:color w:val="000000"/>
                <w:kern w:val="0"/>
                <w:sz w:val="24"/>
                <w:szCs w:val="24"/>
                <w:lang w:val="en-US" w:eastAsia="zh-CN" w:bidi="ar"/>
              </w:rPr>
              <w:t>（市医保局负责）</w:t>
            </w:r>
            <w:r>
              <w:rPr>
                <w:rFonts w:hint="eastAsia" w:ascii="仿宋_GB2312" w:hAnsi="仿宋_GB2312" w:eastAsia="仿宋_GB2312" w:cs="仿宋_GB2312"/>
                <w:i w:val="0"/>
                <w:color w:val="000000"/>
                <w:kern w:val="0"/>
                <w:sz w:val="24"/>
                <w:szCs w:val="24"/>
                <w:lang w:val="en-US" w:eastAsia="zh-CN" w:bidi="ar"/>
              </w:rPr>
              <w:t>。</w:t>
            </w:r>
            <w:r>
              <w:rPr>
                <w:rFonts w:hint="eastAsia" w:ascii="仿宋_GB2312" w:hAnsi="仿宋_GB2312" w:eastAsia="仿宋_GB2312" w:cs="仿宋_GB2312"/>
                <w:i w:val="0"/>
                <w:color w:val="000000"/>
                <w:kern w:val="0"/>
                <w:sz w:val="24"/>
                <w:szCs w:val="24"/>
                <w:lang w:val="en-US" w:eastAsia="zh-CN" w:bidi="ar"/>
              </w:rPr>
              <w:br w:type="textWrapping"/>
            </w:r>
            <w:r>
              <w:rPr>
                <w:rFonts w:hint="eastAsia" w:ascii="仿宋_GB2312" w:hAnsi="仿宋_GB2312" w:eastAsia="仿宋_GB2312" w:cs="仿宋_GB2312"/>
                <w:i w:val="0"/>
                <w:color w:val="000000"/>
                <w:kern w:val="0"/>
                <w:sz w:val="24"/>
                <w:szCs w:val="24"/>
                <w:lang w:val="en-US" w:eastAsia="zh-CN" w:bidi="ar"/>
              </w:rPr>
              <w:t xml:space="preserve">    4.各市级统筹区使用市级管理员账户，在支付方式管理子系统中调整门诊慢特病结算相关政策，实现省内异地与本地待遇计算方式相同且不再验证备案信息</w:t>
            </w:r>
            <w:r>
              <w:rPr>
                <w:rFonts w:hint="eastAsia" w:ascii="仿宋_GB2312" w:hAnsi="仿宋_GB2312" w:eastAsia="仿宋_GB2312" w:cs="仿宋_GB2312"/>
                <w:b/>
                <w:bCs/>
                <w:i w:val="0"/>
                <w:color w:val="000000"/>
                <w:kern w:val="0"/>
                <w:sz w:val="24"/>
                <w:szCs w:val="24"/>
                <w:lang w:val="en-US" w:eastAsia="zh-CN" w:bidi="ar"/>
              </w:rPr>
              <w:t>（市医保局负责）</w:t>
            </w:r>
            <w:r>
              <w:rPr>
                <w:rFonts w:hint="eastAsia" w:ascii="仿宋_GB2312" w:hAnsi="仿宋_GB2312" w:eastAsia="仿宋_GB2312" w:cs="仿宋_GB2312"/>
                <w:i w:val="0"/>
                <w:color w:val="000000"/>
                <w:kern w:val="0"/>
                <w:sz w:val="24"/>
                <w:szCs w:val="24"/>
                <w:lang w:val="en-US" w:eastAsia="zh-CN" w:bidi="ar"/>
              </w:rPr>
              <w:t>。</w:t>
            </w:r>
            <w:r>
              <w:rPr>
                <w:rFonts w:hint="eastAsia" w:ascii="仿宋_GB2312" w:hAnsi="仿宋_GB2312" w:eastAsia="仿宋_GB2312" w:cs="仿宋_GB2312"/>
                <w:i w:val="0"/>
                <w:color w:val="000000"/>
                <w:kern w:val="0"/>
                <w:sz w:val="24"/>
                <w:szCs w:val="24"/>
                <w:lang w:val="en-US" w:eastAsia="zh-CN" w:bidi="ar"/>
              </w:rPr>
              <w:br w:type="textWrapping"/>
            </w:r>
            <w:r>
              <w:rPr>
                <w:rFonts w:hint="eastAsia" w:ascii="仿宋_GB2312" w:hAnsi="仿宋_GB2312" w:eastAsia="仿宋_GB2312" w:cs="仿宋_GB2312"/>
                <w:i w:val="0"/>
                <w:color w:val="000000"/>
                <w:kern w:val="0"/>
                <w:sz w:val="24"/>
                <w:szCs w:val="24"/>
                <w:lang w:val="en-US" w:eastAsia="zh-CN" w:bidi="ar"/>
              </w:rPr>
              <w:t xml:space="preserve">    5.各市级统筹区使用市级管理员账户，在支付方式管理子系统中调整普通门诊结算相关政策，实现省内异地与本地待遇计算方式相同且不再验证备案信息</w:t>
            </w:r>
            <w:r>
              <w:rPr>
                <w:rFonts w:hint="eastAsia" w:ascii="仿宋_GB2312" w:hAnsi="仿宋_GB2312" w:eastAsia="仿宋_GB2312" w:cs="仿宋_GB2312"/>
                <w:b/>
                <w:bCs/>
                <w:i w:val="0"/>
                <w:color w:val="000000"/>
                <w:kern w:val="0"/>
                <w:sz w:val="24"/>
                <w:szCs w:val="24"/>
                <w:lang w:val="en-US" w:eastAsia="zh-CN" w:bidi="ar"/>
              </w:rPr>
              <w:t>（市医保局负责）</w:t>
            </w:r>
            <w:r>
              <w:rPr>
                <w:rFonts w:hint="eastAsia" w:ascii="仿宋_GB2312" w:hAnsi="仿宋_GB2312" w:eastAsia="仿宋_GB2312" w:cs="仿宋_GB2312"/>
                <w:i w:val="0"/>
                <w:color w:val="000000"/>
                <w:kern w:val="0"/>
                <w:sz w:val="24"/>
                <w:szCs w:val="24"/>
                <w:lang w:val="en-US" w:eastAsia="zh-CN" w:bidi="ar"/>
              </w:rPr>
              <w:t>。</w:t>
            </w:r>
          </w:p>
        </w:tc>
        <w:tc>
          <w:tcPr>
            <w:tcW w:w="15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2021/8/6</w:t>
            </w: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2021/8/10</w:t>
            </w:r>
          </w:p>
        </w:tc>
        <w:tc>
          <w:tcPr>
            <w:tcW w:w="12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省医保局市医保局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1" w:hRule="atLeast"/>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HIS系统调整</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lang w:eastAsia="zh-CN"/>
              </w:rPr>
            </w:pPr>
            <w:r>
              <w:rPr>
                <w:rFonts w:hint="eastAsia" w:ascii="仿宋_GB2312" w:hAnsi="仿宋_GB2312" w:eastAsia="仿宋_GB2312" w:cs="仿宋_GB2312"/>
                <w:i w:val="0"/>
                <w:color w:val="000000"/>
                <w:kern w:val="0"/>
                <w:sz w:val="24"/>
                <w:szCs w:val="24"/>
                <w:lang w:val="en-US" w:eastAsia="zh-CN" w:bidi="ar"/>
              </w:rPr>
              <w:t>（</w:t>
            </w:r>
            <w:r>
              <w:rPr>
                <w:rFonts w:hint="eastAsia" w:ascii="仿宋_GB2312" w:hAnsi="仿宋_GB2312" w:eastAsia="仿宋_GB2312" w:cs="仿宋_GB2312"/>
                <w:i w:val="0"/>
                <w:color w:val="000000"/>
                <w:kern w:val="0"/>
                <w:sz w:val="24"/>
                <w:szCs w:val="24"/>
                <w:lang w:val="en-US" w:eastAsia="zh-Hans" w:bidi="ar"/>
              </w:rPr>
              <w:t>测试环境</w:t>
            </w:r>
            <w:r>
              <w:rPr>
                <w:rFonts w:hint="eastAsia" w:ascii="仿宋_GB2312" w:hAnsi="仿宋_GB2312" w:eastAsia="仿宋_GB2312" w:cs="仿宋_GB2312"/>
                <w:i w:val="0"/>
                <w:color w:val="000000"/>
                <w:kern w:val="0"/>
                <w:sz w:val="24"/>
                <w:szCs w:val="24"/>
                <w:lang w:val="en-US" w:eastAsia="zh-CN" w:bidi="ar"/>
              </w:rPr>
              <w:t>）</w:t>
            </w:r>
          </w:p>
        </w:tc>
        <w:tc>
          <w:tcPr>
            <w:tcW w:w="84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各统筹区组织定点医院调整HIS系统，HIS系统能够动态获取慢（特）病患者的病种信息，并使用全省统一的门诊慢（特）病病种编码结算。定点医院可根据国家标准接口改造工作进展，选择国家标准接口直连或临时接入平台转接的方式接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2" w:firstLineChars="20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b/>
                <w:bCs/>
                <w:i w:val="0"/>
                <w:color w:val="000000"/>
                <w:kern w:val="0"/>
                <w:sz w:val="24"/>
                <w:szCs w:val="24"/>
                <w:lang w:val="en-US" w:eastAsia="zh-CN" w:bidi="ar"/>
              </w:rPr>
              <w:t>方式一：</w:t>
            </w:r>
            <w:r>
              <w:rPr>
                <w:rFonts w:hint="eastAsia" w:ascii="仿宋_GB2312" w:hAnsi="仿宋_GB2312" w:eastAsia="仿宋_GB2312" w:cs="仿宋_GB2312"/>
                <w:b w:val="0"/>
                <w:bCs w:val="0"/>
                <w:i w:val="0"/>
                <w:color w:val="000000"/>
                <w:kern w:val="0"/>
                <w:sz w:val="24"/>
                <w:szCs w:val="24"/>
                <w:lang w:val="en-US" w:eastAsia="zh-CN" w:bidi="ar"/>
              </w:rPr>
              <w:t>通过</w:t>
            </w:r>
            <w:r>
              <w:rPr>
                <w:rFonts w:hint="eastAsia" w:ascii="仿宋_GB2312" w:hAnsi="仿宋_GB2312" w:eastAsia="仿宋_GB2312" w:cs="仿宋_GB2312"/>
                <w:i w:val="0"/>
                <w:color w:val="000000"/>
                <w:kern w:val="0"/>
                <w:sz w:val="24"/>
                <w:szCs w:val="24"/>
                <w:lang w:val="en-US" w:eastAsia="zh-CN" w:bidi="ar"/>
              </w:rPr>
              <w:t>国家标准接口直连。定点医院登录河北省医疗保障定点对接技术支持平台（http://111.63.208.5:8083/bbs），在资料下载模块中下载《医保信息平台定点医药机构国家标准接口技术文档》，并按文档规范对HIS系统完成如下调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1.HIS系统调用国家标准接口获取全省门诊慢特病病种信息，在门诊慢特病患者就医时，使用全省统一的门诊慢特病病种编码。</w:t>
            </w:r>
            <w:r>
              <w:rPr>
                <w:rFonts w:hint="eastAsia" w:ascii="仿宋_GB2312" w:hAnsi="仿宋_GB2312" w:eastAsia="仿宋_GB2312" w:cs="仿宋_GB2312"/>
                <w:i w:val="0"/>
                <w:color w:val="000000"/>
                <w:kern w:val="0"/>
                <w:sz w:val="24"/>
                <w:szCs w:val="24"/>
                <w:lang w:val="en-US" w:eastAsia="zh-CN" w:bidi="ar"/>
              </w:rPr>
              <w:br w:type="textWrapping"/>
            </w:r>
            <w:r>
              <w:rPr>
                <w:rFonts w:hint="eastAsia" w:ascii="仿宋_GB2312" w:hAnsi="仿宋_GB2312" w:eastAsia="仿宋_GB2312" w:cs="仿宋_GB2312"/>
                <w:i w:val="0"/>
                <w:color w:val="000000"/>
                <w:kern w:val="0"/>
                <w:sz w:val="24"/>
                <w:szCs w:val="24"/>
                <w:lang w:val="en-US" w:eastAsia="zh-CN" w:bidi="ar"/>
              </w:rPr>
              <w:t xml:space="preserve">    2.在门诊慢特病患者就医时，HIS系统调用医保信息平台定点医药机构接口获取患者慢特病认定病种信息进行结算。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2" w:firstLineChars="20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b/>
                <w:bCs/>
                <w:i w:val="0"/>
                <w:color w:val="000000"/>
                <w:kern w:val="0"/>
                <w:sz w:val="24"/>
                <w:szCs w:val="24"/>
                <w:lang w:val="en-US" w:eastAsia="zh-CN" w:bidi="ar"/>
              </w:rPr>
              <w:t>方式二：</w:t>
            </w:r>
            <w:r>
              <w:rPr>
                <w:rFonts w:hint="eastAsia" w:ascii="仿宋_GB2312" w:hAnsi="仿宋_GB2312" w:eastAsia="仿宋_GB2312" w:cs="仿宋_GB2312"/>
                <w:i w:val="0"/>
                <w:color w:val="000000"/>
                <w:kern w:val="0"/>
                <w:sz w:val="24"/>
                <w:szCs w:val="24"/>
                <w:lang w:val="en-US" w:eastAsia="zh-CN" w:bidi="ar"/>
              </w:rPr>
              <w:t>通过现有临时接入平台转接。定点医院登录河北省医疗保障定点对接技术支持平台（http://111.63.208.5:8083/bbs），在资料下载模块下载《定点医疗机构临时转接技术文档》，并按文档对HIS系统完成如下调整：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1.通过调用临时接入平台接口获取全省门诊慢特病病种信息，在门诊慢特病患者就医时，使用全省统一的门诊慢特病病种编码。</w:t>
            </w:r>
            <w:r>
              <w:rPr>
                <w:rFonts w:hint="eastAsia" w:ascii="仿宋_GB2312" w:hAnsi="仿宋_GB2312" w:eastAsia="仿宋_GB2312" w:cs="仿宋_GB2312"/>
                <w:i w:val="0"/>
                <w:color w:val="000000"/>
                <w:kern w:val="0"/>
                <w:sz w:val="24"/>
                <w:szCs w:val="24"/>
                <w:lang w:val="en-US" w:eastAsia="zh-CN" w:bidi="ar"/>
              </w:rPr>
              <w:br w:type="textWrapping"/>
            </w:r>
            <w:r>
              <w:rPr>
                <w:rFonts w:hint="eastAsia" w:ascii="仿宋_GB2312" w:hAnsi="仿宋_GB2312" w:eastAsia="仿宋_GB2312" w:cs="仿宋_GB2312"/>
                <w:i w:val="0"/>
                <w:color w:val="000000"/>
                <w:kern w:val="0"/>
                <w:sz w:val="24"/>
                <w:szCs w:val="24"/>
                <w:lang w:val="en-US" w:eastAsia="zh-CN" w:bidi="ar"/>
              </w:rPr>
              <w:t xml:space="preserve">    2.在门诊慢特病患者就医时，HIS系统调用临时接入平台接口获取患者慢特病认定病种信息进行结算。</w:t>
            </w:r>
          </w:p>
        </w:tc>
        <w:tc>
          <w:tcPr>
            <w:tcW w:w="15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2021/8/6</w:t>
            </w: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2021/8/15</w:t>
            </w:r>
          </w:p>
        </w:tc>
        <w:tc>
          <w:tcPr>
            <w:tcW w:w="12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市医保局</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定点医院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0" w:hRule="atLeast"/>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跨统筹区联调</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w:t>
            </w:r>
            <w:r>
              <w:rPr>
                <w:rFonts w:hint="eastAsia" w:ascii="仿宋_GB2312" w:hAnsi="仿宋_GB2312" w:eastAsia="仿宋_GB2312" w:cs="仿宋_GB2312"/>
                <w:i w:val="0"/>
                <w:color w:val="000000"/>
                <w:kern w:val="0"/>
                <w:sz w:val="24"/>
                <w:szCs w:val="24"/>
                <w:lang w:val="en-US" w:eastAsia="zh-Hans" w:bidi="ar"/>
              </w:rPr>
              <w:t>测试环境</w:t>
            </w:r>
            <w:r>
              <w:rPr>
                <w:rFonts w:hint="eastAsia" w:ascii="仿宋_GB2312" w:hAnsi="仿宋_GB2312" w:eastAsia="仿宋_GB2312" w:cs="仿宋_GB2312"/>
                <w:i w:val="0"/>
                <w:color w:val="000000"/>
                <w:kern w:val="0"/>
                <w:sz w:val="24"/>
                <w:szCs w:val="24"/>
                <w:lang w:val="en-US" w:eastAsia="zh-CN" w:bidi="ar"/>
              </w:rPr>
              <w:t>）</w:t>
            </w:r>
          </w:p>
        </w:tc>
        <w:tc>
          <w:tcPr>
            <w:tcW w:w="84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1.调整国家统一医保信息平台医保业务基础子系统，将跨统筹区慢（特）病患者就医定点医院等级默认限制为二级及以上，同时取消门诊慢（特）定点限制</w:t>
            </w:r>
            <w:r>
              <w:rPr>
                <w:rFonts w:hint="eastAsia" w:ascii="仿宋_GB2312" w:hAnsi="仿宋_GB2312" w:eastAsia="仿宋_GB2312" w:cs="仿宋_GB2312"/>
                <w:b/>
                <w:bCs/>
                <w:i w:val="0"/>
                <w:color w:val="000000"/>
                <w:kern w:val="0"/>
                <w:sz w:val="24"/>
                <w:szCs w:val="24"/>
                <w:lang w:val="en-US" w:eastAsia="zh-CN" w:bidi="ar"/>
              </w:rPr>
              <w:t>（省医保局负责）</w:t>
            </w:r>
            <w:r>
              <w:rPr>
                <w:rFonts w:hint="eastAsia" w:ascii="仿宋_GB2312" w:hAnsi="仿宋_GB2312" w:eastAsia="仿宋_GB2312" w:cs="仿宋_GB2312"/>
                <w:i w:val="0"/>
                <w:color w:val="000000"/>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right="0" w:rightChars="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2.各统筹区分组进行省内无异地直接结算测试，具体分组为：石家庄与唐山、秦皇岛与张家口、邯郸与保定、邢台与沧州、承德与定州、廊坊与衡水、辛集与雄安、省本级与石铁和华油</w:t>
            </w:r>
            <w:r>
              <w:rPr>
                <w:rFonts w:hint="eastAsia" w:ascii="仿宋_GB2312" w:hAnsi="仿宋_GB2312" w:eastAsia="仿宋_GB2312" w:cs="仿宋_GB2312"/>
                <w:b/>
                <w:bCs/>
                <w:i w:val="0"/>
                <w:color w:val="000000"/>
                <w:kern w:val="0"/>
                <w:sz w:val="24"/>
                <w:szCs w:val="24"/>
                <w:lang w:val="en-US" w:eastAsia="zh-CN" w:bidi="ar"/>
              </w:rPr>
              <w:t>（市医保局负责）</w:t>
            </w:r>
            <w:r>
              <w:rPr>
                <w:rFonts w:hint="eastAsia" w:ascii="仿宋_GB2312" w:hAnsi="仿宋_GB2312" w:eastAsia="仿宋_GB2312" w:cs="仿宋_GB2312"/>
                <w:i w:val="0"/>
                <w:color w:val="000000"/>
                <w:kern w:val="0"/>
                <w:sz w:val="24"/>
                <w:szCs w:val="24"/>
                <w:lang w:val="en-US" w:eastAsia="zh-CN" w:bidi="ar"/>
              </w:rPr>
              <w:t>。</w:t>
            </w:r>
            <w:r>
              <w:rPr>
                <w:rFonts w:hint="eastAsia" w:ascii="仿宋_GB2312" w:hAnsi="仿宋_GB2312" w:eastAsia="仿宋_GB2312" w:cs="仿宋_GB2312"/>
                <w:i w:val="0"/>
                <w:color w:val="000000"/>
                <w:kern w:val="0"/>
                <w:sz w:val="24"/>
                <w:szCs w:val="24"/>
                <w:lang w:val="en-US" w:eastAsia="zh-CN" w:bidi="ar"/>
              </w:rPr>
              <w:br w:type="textWrapping"/>
            </w:r>
            <w:r>
              <w:rPr>
                <w:rFonts w:hint="eastAsia" w:ascii="仿宋_GB2312" w:hAnsi="仿宋_GB2312" w:eastAsia="仿宋_GB2312" w:cs="仿宋_GB2312"/>
                <w:i w:val="0"/>
                <w:color w:val="000000"/>
                <w:kern w:val="0"/>
                <w:sz w:val="24"/>
                <w:szCs w:val="24"/>
                <w:lang w:val="en-US" w:eastAsia="zh-CN" w:bidi="ar"/>
              </w:rPr>
              <w:t xml:space="preserve">    3.各统筹区至少选取2家三级医疗机构、3家二级医疗机构进行测试，测试业务包含异地普通门诊、异地门诊慢特病、异地住院全流程</w:t>
            </w:r>
            <w:r>
              <w:rPr>
                <w:rFonts w:hint="eastAsia" w:ascii="仿宋_GB2312" w:hAnsi="仿宋_GB2312" w:eastAsia="仿宋_GB2312" w:cs="仿宋_GB2312"/>
                <w:b/>
                <w:bCs/>
                <w:i w:val="0"/>
                <w:color w:val="000000"/>
                <w:kern w:val="0"/>
                <w:sz w:val="24"/>
                <w:szCs w:val="24"/>
                <w:lang w:val="en-US" w:eastAsia="zh-CN" w:bidi="ar"/>
              </w:rPr>
              <w:t>（市医保局负责）</w:t>
            </w:r>
            <w:r>
              <w:rPr>
                <w:rFonts w:hint="eastAsia" w:ascii="仿宋_GB2312" w:hAnsi="仿宋_GB2312" w:eastAsia="仿宋_GB2312" w:cs="仿宋_GB2312"/>
                <w:i w:val="0"/>
                <w:color w:val="000000"/>
                <w:kern w:val="0"/>
                <w:sz w:val="24"/>
                <w:szCs w:val="24"/>
                <w:lang w:val="en-US" w:eastAsia="zh-CN" w:bidi="ar"/>
              </w:rPr>
              <w:t>。</w:t>
            </w:r>
          </w:p>
        </w:tc>
        <w:tc>
          <w:tcPr>
            <w:tcW w:w="15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2021/8/15</w:t>
            </w: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2021/8/20</w:t>
            </w:r>
          </w:p>
        </w:tc>
        <w:tc>
          <w:tcPr>
            <w:tcW w:w="12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省医保局</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市医保局</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定点医院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正式上线</w:t>
            </w:r>
          </w:p>
        </w:tc>
        <w:tc>
          <w:tcPr>
            <w:tcW w:w="84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left"/>
              <w:textAlignment w:val="auto"/>
              <w:rPr>
                <w:rFonts w:hint="eastAsia" w:ascii="仿宋_GB2312" w:hAnsi="仿宋_GB2312" w:eastAsia="仿宋_GB2312" w:cs="仿宋_GB2312"/>
                <w:i w:val="0"/>
                <w:color w:val="000000"/>
                <w:kern w:val="2"/>
                <w:sz w:val="24"/>
                <w:szCs w:val="24"/>
                <w:lang w:val="en-US" w:eastAsia="zh-CN"/>
              </w:rPr>
            </w:pPr>
            <w:r>
              <w:rPr>
                <w:rFonts w:hint="eastAsia" w:ascii="仿宋_GB2312" w:hAnsi="仿宋_GB2312" w:eastAsia="仿宋_GB2312" w:cs="仿宋_GB2312"/>
                <w:i w:val="0"/>
                <w:color w:val="000000"/>
                <w:kern w:val="2"/>
                <w:sz w:val="24"/>
                <w:szCs w:val="24"/>
                <w:lang w:val="en-US" w:eastAsia="zh-CN"/>
              </w:rPr>
              <w:t>1.省医疗保障局将现异地就医平台切换至国家统一医保信息平台异地就医管理子系统</w:t>
            </w:r>
            <w:r>
              <w:rPr>
                <w:rFonts w:hint="eastAsia" w:ascii="仿宋_GB2312" w:hAnsi="仿宋_GB2312" w:eastAsia="仿宋_GB2312" w:cs="仿宋_GB2312"/>
                <w:b/>
                <w:bCs/>
                <w:i w:val="0"/>
                <w:color w:val="000000"/>
                <w:kern w:val="0"/>
                <w:sz w:val="24"/>
                <w:szCs w:val="24"/>
                <w:lang w:val="en-US" w:eastAsia="zh-CN" w:bidi="ar"/>
              </w:rPr>
              <w:t>（省医保局负责）</w:t>
            </w:r>
            <w:r>
              <w:rPr>
                <w:rFonts w:hint="eastAsia" w:ascii="仿宋_GB2312" w:hAnsi="仿宋_GB2312" w:eastAsia="仿宋_GB2312" w:cs="仿宋_GB2312"/>
                <w:i w:val="0"/>
                <w:color w:val="000000"/>
                <w:kern w:val="2"/>
                <w:sz w:val="24"/>
                <w:szCs w:val="24"/>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left"/>
              <w:textAlignment w:val="auto"/>
              <w:rPr>
                <w:rFonts w:hint="eastAsia" w:ascii="仿宋_GB2312" w:hAnsi="仿宋_GB2312" w:eastAsia="仿宋_GB2312" w:cs="仿宋_GB2312"/>
                <w:i w:val="0"/>
                <w:color w:val="000000"/>
                <w:kern w:val="2"/>
                <w:sz w:val="24"/>
                <w:szCs w:val="24"/>
                <w:lang w:val="en-US" w:eastAsia="zh-Hans"/>
              </w:rPr>
            </w:pPr>
            <w:r>
              <w:rPr>
                <w:rFonts w:hint="eastAsia" w:ascii="仿宋_GB2312" w:hAnsi="仿宋_GB2312" w:eastAsia="仿宋_GB2312" w:cs="仿宋_GB2312"/>
                <w:i w:val="0"/>
                <w:color w:val="000000"/>
                <w:kern w:val="2"/>
                <w:sz w:val="24"/>
                <w:szCs w:val="24"/>
                <w:lang w:val="en-US" w:eastAsia="zh-CN"/>
              </w:rPr>
              <w:t>2.各统筹区组织定点医院将HIS系统</w:t>
            </w:r>
            <w:r>
              <w:rPr>
                <w:rFonts w:hint="eastAsia" w:ascii="仿宋_GB2312" w:hAnsi="仿宋_GB2312" w:eastAsia="仿宋_GB2312" w:cs="仿宋_GB2312"/>
                <w:i w:val="0"/>
                <w:color w:val="000000"/>
                <w:kern w:val="2"/>
                <w:sz w:val="24"/>
                <w:szCs w:val="24"/>
                <w:lang w:val="en-US" w:eastAsia="zh-Hans"/>
              </w:rPr>
              <w:t>测试环境修改</w:t>
            </w:r>
            <w:r>
              <w:rPr>
                <w:rFonts w:hint="eastAsia" w:ascii="仿宋_GB2312" w:hAnsi="仿宋_GB2312" w:eastAsia="仿宋_GB2312" w:cs="仿宋_GB2312"/>
                <w:i w:val="0"/>
                <w:color w:val="000000"/>
                <w:kern w:val="2"/>
                <w:sz w:val="24"/>
                <w:szCs w:val="24"/>
                <w:lang w:val="en-US" w:eastAsia="zh-CN"/>
              </w:rPr>
              <w:t>内容</w:t>
            </w:r>
            <w:r>
              <w:rPr>
                <w:rFonts w:hint="eastAsia" w:ascii="仿宋_GB2312" w:hAnsi="仿宋_GB2312" w:eastAsia="仿宋_GB2312" w:cs="仿宋_GB2312"/>
                <w:i w:val="0"/>
                <w:color w:val="000000"/>
                <w:kern w:val="2"/>
                <w:sz w:val="24"/>
                <w:szCs w:val="24"/>
                <w:lang w:val="en-US" w:eastAsia="zh-Hans"/>
              </w:rPr>
              <w:t>同步至生产环境</w:t>
            </w:r>
            <w:r>
              <w:rPr>
                <w:rFonts w:hint="eastAsia" w:ascii="仿宋_GB2312" w:hAnsi="仿宋_GB2312" w:eastAsia="仿宋_GB2312" w:cs="仿宋_GB2312"/>
                <w:b/>
                <w:bCs/>
                <w:i w:val="0"/>
                <w:color w:val="000000"/>
                <w:kern w:val="0"/>
                <w:sz w:val="24"/>
                <w:szCs w:val="24"/>
                <w:lang w:val="en-US" w:eastAsia="zh-CN" w:bidi="ar"/>
              </w:rPr>
              <w:t>（市医保局负责）</w:t>
            </w:r>
            <w:r>
              <w:rPr>
                <w:rFonts w:hint="eastAsia" w:ascii="仿宋_GB2312" w:hAnsi="仿宋_GB2312" w:eastAsia="仿宋_GB2312" w:cs="仿宋_GB2312"/>
                <w:i w:val="0"/>
                <w:color w:val="000000"/>
                <w:kern w:val="2"/>
                <w:sz w:val="24"/>
                <w:szCs w:val="24"/>
                <w:lang w:val="en-US" w:eastAsia="zh-Hans"/>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left"/>
              <w:textAlignment w:val="auto"/>
              <w:rPr>
                <w:rFonts w:hint="eastAsia" w:ascii="仿宋_GB2312" w:hAnsi="仿宋_GB2312" w:eastAsia="仿宋_GB2312" w:cs="仿宋_GB2312"/>
                <w:i w:val="0"/>
                <w:color w:val="000000"/>
                <w:kern w:val="2"/>
                <w:sz w:val="24"/>
                <w:szCs w:val="24"/>
                <w:lang w:val="en-US" w:eastAsia="zh-Hans"/>
              </w:rPr>
            </w:pPr>
            <w:r>
              <w:rPr>
                <w:rFonts w:hint="eastAsia" w:ascii="仿宋_GB2312" w:hAnsi="仿宋_GB2312" w:eastAsia="仿宋_GB2312" w:cs="仿宋_GB2312"/>
                <w:i w:val="0"/>
                <w:color w:val="000000"/>
                <w:kern w:val="0"/>
                <w:sz w:val="24"/>
                <w:szCs w:val="24"/>
                <w:lang w:val="en-US" w:eastAsia="zh-CN" w:bidi="ar"/>
              </w:rPr>
              <w:t>3.各统筹区使用市级管理员账户，</w:t>
            </w:r>
            <w:r>
              <w:rPr>
                <w:rFonts w:hint="eastAsia" w:ascii="仿宋_GB2312" w:hAnsi="仿宋_GB2312" w:eastAsia="仿宋_GB2312" w:cs="仿宋_GB2312"/>
                <w:i w:val="0"/>
                <w:color w:val="000000"/>
                <w:kern w:val="2"/>
                <w:sz w:val="24"/>
                <w:szCs w:val="24"/>
                <w:lang w:val="en-US" w:eastAsia="zh-CN"/>
              </w:rPr>
              <w:t>将支付方式管理子系统测试环境修改内容同步至生产环境。</w:t>
            </w:r>
          </w:p>
        </w:tc>
        <w:tc>
          <w:tcPr>
            <w:tcW w:w="15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2021/8/25</w:t>
            </w:r>
          </w:p>
        </w:tc>
        <w:tc>
          <w:tcPr>
            <w:tcW w:w="14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rPr>
                <w:rFonts w:hint="eastAsia" w:ascii="仿宋_GB2312" w:hAnsi="仿宋_GB2312" w:eastAsia="仿宋_GB2312" w:cs="仿宋_GB2312"/>
                <w:i w:val="0"/>
                <w:color w:val="000000"/>
                <w:kern w:val="2"/>
                <w:sz w:val="24"/>
                <w:szCs w:val="24"/>
              </w:rPr>
            </w:pPr>
            <w:r>
              <w:rPr>
                <w:rFonts w:hint="eastAsia" w:ascii="仿宋_GB2312" w:hAnsi="仿宋_GB2312" w:eastAsia="仿宋_GB2312" w:cs="仿宋_GB2312"/>
                <w:i w:val="0"/>
                <w:color w:val="000000"/>
                <w:kern w:val="0"/>
                <w:sz w:val="24"/>
                <w:szCs w:val="24"/>
                <w:lang w:val="en-US" w:eastAsia="zh-CN" w:bidi="ar"/>
              </w:rPr>
              <w:t>2021/8/30</w:t>
            </w:r>
          </w:p>
        </w:tc>
        <w:tc>
          <w:tcPr>
            <w:tcW w:w="12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省医保局</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both"/>
              <w:textAlignment w:val="center"/>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市医保局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rPr>
                <w:rFonts w:hint="eastAsia" w:ascii="仿宋_GB2312" w:hAnsi="仿宋_GB2312" w:eastAsia="仿宋_GB2312" w:cs="仿宋_GB2312"/>
                <w:i w:val="0"/>
                <w:color w:val="000000"/>
                <w:kern w:val="0"/>
                <w:sz w:val="24"/>
                <w:szCs w:val="24"/>
                <w:lang w:val="en-US" w:eastAsia="zh-CN" w:bidi="ar"/>
              </w:rPr>
            </w:pPr>
            <w:r>
              <w:rPr>
                <w:rFonts w:hint="eastAsia" w:ascii="仿宋_GB2312" w:hAnsi="仿宋_GB2312" w:eastAsia="仿宋_GB2312" w:cs="仿宋_GB2312"/>
                <w:i w:val="0"/>
                <w:color w:val="000000"/>
                <w:kern w:val="0"/>
                <w:sz w:val="24"/>
                <w:szCs w:val="24"/>
                <w:lang w:val="en-US" w:eastAsia="zh-CN" w:bidi="ar"/>
              </w:rPr>
              <w:t>定点医院</w:t>
            </w:r>
          </w:p>
        </w:tc>
      </w:tr>
    </w:tbl>
    <w:p>
      <w:pPr>
        <w:rPr>
          <w:rFonts w:hint="default"/>
          <w:lang w:val="en-US"/>
        </w:rPr>
      </w:pPr>
    </w:p>
    <w:sectPr>
      <w:pgSz w:w="16838" w:h="11906" w:orient="landscape"/>
      <w:pgMar w:top="1134" w:right="1134" w:bottom="1134" w:left="1134" w:header="851" w:footer="1134" w:gutter="0"/>
      <w:paperSrc/>
      <w:pgBorders w:offsetFrom="page">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45B40"/>
    <w:rsid w:val="00401D98"/>
    <w:rsid w:val="009E6FDD"/>
    <w:rsid w:val="018652AE"/>
    <w:rsid w:val="020B3699"/>
    <w:rsid w:val="02124799"/>
    <w:rsid w:val="026439C6"/>
    <w:rsid w:val="02A11C90"/>
    <w:rsid w:val="02A552B6"/>
    <w:rsid w:val="02E06E3B"/>
    <w:rsid w:val="032243F0"/>
    <w:rsid w:val="035908FE"/>
    <w:rsid w:val="03D9383D"/>
    <w:rsid w:val="03F65012"/>
    <w:rsid w:val="04245B3A"/>
    <w:rsid w:val="04395903"/>
    <w:rsid w:val="05235027"/>
    <w:rsid w:val="052544A8"/>
    <w:rsid w:val="052E63C9"/>
    <w:rsid w:val="06014640"/>
    <w:rsid w:val="061A191C"/>
    <w:rsid w:val="065A7278"/>
    <w:rsid w:val="06F61DAB"/>
    <w:rsid w:val="07330EE8"/>
    <w:rsid w:val="07DA1046"/>
    <w:rsid w:val="07EE2EDE"/>
    <w:rsid w:val="082D301E"/>
    <w:rsid w:val="084B4119"/>
    <w:rsid w:val="08A01442"/>
    <w:rsid w:val="095562D7"/>
    <w:rsid w:val="0A6A2478"/>
    <w:rsid w:val="0A745A3B"/>
    <w:rsid w:val="0AE5717F"/>
    <w:rsid w:val="0B03239E"/>
    <w:rsid w:val="0BA57E34"/>
    <w:rsid w:val="0BDE068A"/>
    <w:rsid w:val="0C063F7F"/>
    <w:rsid w:val="0C4D3C03"/>
    <w:rsid w:val="0CFA0658"/>
    <w:rsid w:val="0D444797"/>
    <w:rsid w:val="0DBA5FAD"/>
    <w:rsid w:val="0DDB10FE"/>
    <w:rsid w:val="0E9232AB"/>
    <w:rsid w:val="0E9F7099"/>
    <w:rsid w:val="0F1539EE"/>
    <w:rsid w:val="0FC810F1"/>
    <w:rsid w:val="0FFA723A"/>
    <w:rsid w:val="10141619"/>
    <w:rsid w:val="10626F53"/>
    <w:rsid w:val="10C777C4"/>
    <w:rsid w:val="10C91D7D"/>
    <w:rsid w:val="110A3F88"/>
    <w:rsid w:val="11AB34A4"/>
    <w:rsid w:val="11B44990"/>
    <w:rsid w:val="11B86A2E"/>
    <w:rsid w:val="11FE7CDD"/>
    <w:rsid w:val="12387D6F"/>
    <w:rsid w:val="127911AF"/>
    <w:rsid w:val="12975937"/>
    <w:rsid w:val="12B22297"/>
    <w:rsid w:val="131B415B"/>
    <w:rsid w:val="13500FEC"/>
    <w:rsid w:val="13D5435B"/>
    <w:rsid w:val="14276B26"/>
    <w:rsid w:val="14CF037D"/>
    <w:rsid w:val="1501074F"/>
    <w:rsid w:val="15553F67"/>
    <w:rsid w:val="15AB1A5A"/>
    <w:rsid w:val="15AC60BC"/>
    <w:rsid w:val="15CF21B4"/>
    <w:rsid w:val="15F21C0A"/>
    <w:rsid w:val="15F51C2C"/>
    <w:rsid w:val="16351CBA"/>
    <w:rsid w:val="168D0A59"/>
    <w:rsid w:val="169A6EB4"/>
    <w:rsid w:val="16B62327"/>
    <w:rsid w:val="16C5270C"/>
    <w:rsid w:val="16F768B2"/>
    <w:rsid w:val="170A000B"/>
    <w:rsid w:val="170D5889"/>
    <w:rsid w:val="171F3A32"/>
    <w:rsid w:val="179A746F"/>
    <w:rsid w:val="18A76019"/>
    <w:rsid w:val="18D60DC7"/>
    <w:rsid w:val="18E806D9"/>
    <w:rsid w:val="190A5200"/>
    <w:rsid w:val="19140284"/>
    <w:rsid w:val="199D0722"/>
    <w:rsid w:val="19DA7B19"/>
    <w:rsid w:val="1A57349E"/>
    <w:rsid w:val="1A672FE2"/>
    <w:rsid w:val="1A696F36"/>
    <w:rsid w:val="1A9047A5"/>
    <w:rsid w:val="1ABB015B"/>
    <w:rsid w:val="1AEB357B"/>
    <w:rsid w:val="1B7577C7"/>
    <w:rsid w:val="1BA17E87"/>
    <w:rsid w:val="1BF03E1C"/>
    <w:rsid w:val="1C7451D8"/>
    <w:rsid w:val="1C920E4D"/>
    <w:rsid w:val="1CBC554E"/>
    <w:rsid w:val="1D834A74"/>
    <w:rsid w:val="1E0E1EBE"/>
    <w:rsid w:val="1E273188"/>
    <w:rsid w:val="1E7C70E2"/>
    <w:rsid w:val="1FF06097"/>
    <w:rsid w:val="202A55C6"/>
    <w:rsid w:val="206B7709"/>
    <w:rsid w:val="20F37C5C"/>
    <w:rsid w:val="213D70E5"/>
    <w:rsid w:val="21425233"/>
    <w:rsid w:val="214606A5"/>
    <w:rsid w:val="219B1A5B"/>
    <w:rsid w:val="21A14FDF"/>
    <w:rsid w:val="2213721C"/>
    <w:rsid w:val="2252743C"/>
    <w:rsid w:val="231B3693"/>
    <w:rsid w:val="23720273"/>
    <w:rsid w:val="239C72C1"/>
    <w:rsid w:val="2517557B"/>
    <w:rsid w:val="25624A1A"/>
    <w:rsid w:val="25695EC0"/>
    <w:rsid w:val="25987AAF"/>
    <w:rsid w:val="25C61545"/>
    <w:rsid w:val="263406A2"/>
    <w:rsid w:val="26371698"/>
    <w:rsid w:val="268C1B35"/>
    <w:rsid w:val="271E6EBA"/>
    <w:rsid w:val="27201C04"/>
    <w:rsid w:val="27AC3978"/>
    <w:rsid w:val="28A22DF9"/>
    <w:rsid w:val="29023589"/>
    <w:rsid w:val="29463902"/>
    <w:rsid w:val="294C5D6A"/>
    <w:rsid w:val="297315C2"/>
    <w:rsid w:val="29D110CB"/>
    <w:rsid w:val="29D704CC"/>
    <w:rsid w:val="2A1F4990"/>
    <w:rsid w:val="2A6579FB"/>
    <w:rsid w:val="2B5F68CE"/>
    <w:rsid w:val="2B6F036C"/>
    <w:rsid w:val="2BB00B81"/>
    <w:rsid w:val="2C1B6444"/>
    <w:rsid w:val="2C2E7DFD"/>
    <w:rsid w:val="2C702437"/>
    <w:rsid w:val="2C996359"/>
    <w:rsid w:val="2CC44195"/>
    <w:rsid w:val="2CF120AB"/>
    <w:rsid w:val="2DB129AE"/>
    <w:rsid w:val="2E6117E9"/>
    <w:rsid w:val="2E6C3EDA"/>
    <w:rsid w:val="2E761300"/>
    <w:rsid w:val="2E8B2A4B"/>
    <w:rsid w:val="2ED97A99"/>
    <w:rsid w:val="303909E8"/>
    <w:rsid w:val="30391D18"/>
    <w:rsid w:val="304C4569"/>
    <w:rsid w:val="30612160"/>
    <w:rsid w:val="30E35031"/>
    <w:rsid w:val="31006186"/>
    <w:rsid w:val="31453503"/>
    <w:rsid w:val="317D58DB"/>
    <w:rsid w:val="31851392"/>
    <w:rsid w:val="31D83F7F"/>
    <w:rsid w:val="326C4CC1"/>
    <w:rsid w:val="32AB77D0"/>
    <w:rsid w:val="32C443E6"/>
    <w:rsid w:val="32E160D4"/>
    <w:rsid w:val="33233F47"/>
    <w:rsid w:val="33427F9A"/>
    <w:rsid w:val="340B47BF"/>
    <w:rsid w:val="35627156"/>
    <w:rsid w:val="36646525"/>
    <w:rsid w:val="36F77A1E"/>
    <w:rsid w:val="37177F40"/>
    <w:rsid w:val="37983898"/>
    <w:rsid w:val="387164F6"/>
    <w:rsid w:val="38ED1376"/>
    <w:rsid w:val="39262678"/>
    <w:rsid w:val="39997CF2"/>
    <w:rsid w:val="3A0211C5"/>
    <w:rsid w:val="3A571309"/>
    <w:rsid w:val="3A573B72"/>
    <w:rsid w:val="3A703348"/>
    <w:rsid w:val="3AC36C1F"/>
    <w:rsid w:val="3AEA0C62"/>
    <w:rsid w:val="3B1B57E2"/>
    <w:rsid w:val="3B8325EF"/>
    <w:rsid w:val="3B9129AB"/>
    <w:rsid w:val="3BE16DE7"/>
    <w:rsid w:val="3C3F6609"/>
    <w:rsid w:val="3C5A3856"/>
    <w:rsid w:val="3C71682E"/>
    <w:rsid w:val="3D0A6688"/>
    <w:rsid w:val="3D547FDF"/>
    <w:rsid w:val="3DAA746A"/>
    <w:rsid w:val="3DFC1E03"/>
    <w:rsid w:val="3E553390"/>
    <w:rsid w:val="3E5730BB"/>
    <w:rsid w:val="3E8957B7"/>
    <w:rsid w:val="3EF72453"/>
    <w:rsid w:val="3F07260E"/>
    <w:rsid w:val="3F2C335F"/>
    <w:rsid w:val="3F3C0063"/>
    <w:rsid w:val="3F83432C"/>
    <w:rsid w:val="3FA22D90"/>
    <w:rsid w:val="3FF32684"/>
    <w:rsid w:val="40FE1967"/>
    <w:rsid w:val="417B7FE0"/>
    <w:rsid w:val="419215FA"/>
    <w:rsid w:val="425A6D81"/>
    <w:rsid w:val="433D2B85"/>
    <w:rsid w:val="440D08DA"/>
    <w:rsid w:val="444B0CD8"/>
    <w:rsid w:val="44BC18CE"/>
    <w:rsid w:val="45650463"/>
    <w:rsid w:val="467B3465"/>
    <w:rsid w:val="468B0A89"/>
    <w:rsid w:val="46B979C3"/>
    <w:rsid w:val="46E43A44"/>
    <w:rsid w:val="46EC2826"/>
    <w:rsid w:val="47335DF2"/>
    <w:rsid w:val="474C103A"/>
    <w:rsid w:val="476D361F"/>
    <w:rsid w:val="47E300F7"/>
    <w:rsid w:val="48045B40"/>
    <w:rsid w:val="483A665A"/>
    <w:rsid w:val="48726DFE"/>
    <w:rsid w:val="491D5933"/>
    <w:rsid w:val="49DA11C1"/>
    <w:rsid w:val="49E701E1"/>
    <w:rsid w:val="4A1D7828"/>
    <w:rsid w:val="4A2326D3"/>
    <w:rsid w:val="4A5052E3"/>
    <w:rsid w:val="4A821294"/>
    <w:rsid w:val="4AB45B58"/>
    <w:rsid w:val="4B536B7D"/>
    <w:rsid w:val="4C3636DC"/>
    <w:rsid w:val="4CA118F3"/>
    <w:rsid w:val="4CAF7707"/>
    <w:rsid w:val="4CF36DA7"/>
    <w:rsid w:val="4DDE4BB1"/>
    <w:rsid w:val="4E616B30"/>
    <w:rsid w:val="4E625106"/>
    <w:rsid w:val="4E6E35F8"/>
    <w:rsid w:val="4E73708E"/>
    <w:rsid w:val="4F62329B"/>
    <w:rsid w:val="4F7749B6"/>
    <w:rsid w:val="4F980E56"/>
    <w:rsid w:val="4FB70449"/>
    <w:rsid w:val="4FCC71A5"/>
    <w:rsid w:val="503F31EB"/>
    <w:rsid w:val="50460486"/>
    <w:rsid w:val="50AA2948"/>
    <w:rsid w:val="50FC5FD9"/>
    <w:rsid w:val="515A0B9F"/>
    <w:rsid w:val="519D6F17"/>
    <w:rsid w:val="51D23BE2"/>
    <w:rsid w:val="536C6A37"/>
    <w:rsid w:val="53CF7246"/>
    <w:rsid w:val="541B36EE"/>
    <w:rsid w:val="54417C41"/>
    <w:rsid w:val="54934055"/>
    <w:rsid w:val="54D53844"/>
    <w:rsid w:val="54DE65ED"/>
    <w:rsid w:val="552B5D75"/>
    <w:rsid w:val="55E53D82"/>
    <w:rsid w:val="56053C3C"/>
    <w:rsid w:val="56FE7896"/>
    <w:rsid w:val="57192F73"/>
    <w:rsid w:val="573A0E91"/>
    <w:rsid w:val="574019BC"/>
    <w:rsid w:val="57B356AF"/>
    <w:rsid w:val="59697C4B"/>
    <w:rsid w:val="598534F4"/>
    <w:rsid w:val="5A5E4D37"/>
    <w:rsid w:val="5A5F6905"/>
    <w:rsid w:val="5A884DC9"/>
    <w:rsid w:val="5A974DCF"/>
    <w:rsid w:val="5ACC1F53"/>
    <w:rsid w:val="5AD278B5"/>
    <w:rsid w:val="5B167A04"/>
    <w:rsid w:val="5B5D0653"/>
    <w:rsid w:val="5B732A74"/>
    <w:rsid w:val="5BB233BC"/>
    <w:rsid w:val="5BF77C5F"/>
    <w:rsid w:val="5C0B5400"/>
    <w:rsid w:val="5C1B53AB"/>
    <w:rsid w:val="5C393231"/>
    <w:rsid w:val="5C4134F0"/>
    <w:rsid w:val="5C84307B"/>
    <w:rsid w:val="5C8D3762"/>
    <w:rsid w:val="5CCC141B"/>
    <w:rsid w:val="5CE2675D"/>
    <w:rsid w:val="5D1D2C0A"/>
    <w:rsid w:val="5D9F08B1"/>
    <w:rsid w:val="5DB77990"/>
    <w:rsid w:val="5E185B3A"/>
    <w:rsid w:val="5F2D66AB"/>
    <w:rsid w:val="5F5E092F"/>
    <w:rsid w:val="5F9428FF"/>
    <w:rsid w:val="5FD62619"/>
    <w:rsid w:val="601E68EA"/>
    <w:rsid w:val="60E7054B"/>
    <w:rsid w:val="60FA6364"/>
    <w:rsid w:val="61320034"/>
    <w:rsid w:val="62E6474C"/>
    <w:rsid w:val="630E2FBE"/>
    <w:rsid w:val="64520495"/>
    <w:rsid w:val="64A97810"/>
    <w:rsid w:val="64E8362B"/>
    <w:rsid w:val="65403EDC"/>
    <w:rsid w:val="65497462"/>
    <w:rsid w:val="655F2090"/>
    <w:rsid w:val="65C60F2F"/>
    <w:rsid w:val="66160B3F"/>
    <w:rsid w:val="66772654"/>
    <w:rsid w:val="66B46F7E"/>
    <w:rsid w:val="68264AD5"/>
    <w:rsid w:val="686436CA"/>
    <w:rsid w:val="69484879"/>
    <w:rsid w:val="697A4159"/>
    <w:rsid w:val="6A26344D"/>
    <w:rsid w:val="6AC60EF2"/>
    <w:rsid w:val="6B5C0E53"/>
    <w:rsid w:val="6B78356C"/>
    <w:rsid w:val="6CC97836"/>
    <w:rsid w:val="6D6D6266"/>
    <w:rsid w:val="6D77601B"/>
    <w:rsid w:val="6DEB5AC3"/>
    <w:rsid w:val="6E416F6A"/>
    <w:rsid w:val="6F0059D9"/>
    <w:rsid w:val="6F0075ED"/>
    <w:rsid w:val="6F0F2F9B"/>
    <w:rsid w:val="6F471AE3"/>
    <w:rsid w:val="6F767A2A"/>
    <w:rsid w:val="6F935F57"/>
    <w:rsid w:val="6FB50A3C"/>
    <w:rsid w:val="6FCC5222"/>
    <w:rsid w:val="71300AAE"/>
    <w:rsid w:val="71D341A7"/>
    <w:rsid w:val="7269131B"/>
    <w:rsid w:val="72714462"/>
    <w:rsid w:val="73024DB9"/>
    <w:rsid w:val="73245A8A"/>
    <w:rsid w:val="73511A45"/>
    <w:rsid w:val="73837CFF"/>
    <w:rsid w:val="73B225DF"/>
    <w:rsid w:val="74293A42"/>
    <w:rsid w:val="74441C3F"/>
    <w:rsid w:val="746A3B66"/>
    <w:rsid w:val="748639A4"/>
    <w:rsid w:val="748F4639"/>
    <w:rsid w:val="749B1AD9"/>
    <w:rsid w:val="74D3544B"/>
    <w:rsid w:val="75445CE1"/>
    <w:rsid w:val="754D85D5"/>
    <w:rsid w:val="7554446F"/>
    <w:rsid w:val="765524A7"/>
    <w:rsid w:val="7684727C"/>
    <w:rsid w:val="769E5C9E"/>
    <w:rsid w:val="76B16CFB"/>
    <w:rsid w:val="772F3898"/>
    <w:rsid w:val="77375CA4"/>
    <w:rsid w:val="779F59CC"/>
    <w:rsid w:val="77CA0E74"/>
    <w:rsid w:val="77CE1C07"/>
    <w:rsid w:val="782878D0"/>
    <w:rsid w:val="78687548"/>
    <w:rsid w:val="78F7013E"/>
    <w:rsid w:val="78FC46DF"/>
    <w:rsid w:val="791845F2"/>
    <w:rsid w:val="79676B4C"/>
    <w:rsid w:val="7A233B5F"/>
    <w:rsid w:val="7A5068A3"/>
    <w:rsid w:val="7ADD507A"/>
    <w:rsid w:val="7B305E68"/>
    <w:rsid w:val="7B894487"/>
    <w:rsid w:val="7D1C7A4F"/>
    <w:rsid w:val="7D4D68F2"/>
    <w:rsid w:val="7E613682"/>
    <w:rsid w:val="7E7A5B90"/>
    <w:rsid w:val="7EBE1367"/>
    <w:rsid w:val="7F6F04BD"/>
    <w:rsid w:val="FFEF1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1341</Words>
  <Characters>1491</Characters>
  <Lines>0</Lines>
  <Paragraphs>0</Paragraphs>
  <TotalTime>29</TotalTime>
  <ScaleCrop>false</ScaleCrop>
  <LinksUpToDate>false</LinksUpToDate>
  <CharactersWithSpaces>1511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2021-08-05T15:35:00Z</dcterms:created>
  <dc:creator>桜の花</dc:creator>
  <cp:lastModifiedBy>静</cp:lastModifiedBy>
  <cp:lastPrinted>2021-08-06T01:14:00Z</cp:lastPrinted>
  <dcterms:modified xsi:type="dcterms:W3CDTF">2021-08-06T08:07:15Z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C742A390CF114633A73DB8706FA136C4</vt:lpwstr>
  </property>
</Properties>
</file>