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25" w:line="199" w:lineRule="auto"/>
        <w:ind w:left="2977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藏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政办发〔2022〕31</w:t>
      </w:r>
      <w:r>
        <w:rPr>
          <w:rFonts w:ascii="微软雅黑" w:hAnsi="微软雅黑" w:eastAsia="微软雅黑" w:cs="微软雅黑"/>
          <w:spacing w:val="-14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号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67" w:line="184" w:lineRule="auto"/>
        <w:ind w:left="1491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8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西</w:t>
      </w:r>
      <w:r>
        <w:rPr>
          <w:rFonts w:ascii="微软雅黑" w:hAnsi="微软雅黑" w:eastAsia="微软雅黑" w:cs="微软雅黑"/>
          <w:spacing w:val="26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藏自治区人民政府办公厅关于</w:t>
      </w:r>
    </w:p>
    <w:p>
      <w:pPr>
        <w:spacing w:before="1" w:line="192" w:lineRule="auto"/>
        <w:ind w:left="1900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特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疾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0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险</w:t>
      </w:r>
    </w:p>
    <w:p>
      <w:pPr>
        <w:spacing w:before="1" w:line="213" w:lineRule="auto"/>
        <w:ind w:left="2319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6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和救助制度的实施意见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24" w:line="200" w:lineRule="auto"/>
        <w:ind w:left="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</w:t>
      </w:r>
      <w:r>
        <w:rPr>
          <w:rFonts w:ascii="微软雅黑" w:hAnsi="微软雅黑" w:eastAsia="微软雅黑" w:cs="微软雅黑"/>
          <w:spacing w:val="-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(市)行署(人民政府)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区各委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、办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、厅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、局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>
      <w:pPr>
        <w:spacing w:before="180" w:line="286" w:lineRule="auto"/>
        <w:ind w:firstLine="63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3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据《国务院办公厅关于健全重特大疾病医疗保险和救助制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度的意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见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》(国办发〔2021〕42号)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精神及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区党委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政府关于深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化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医疗保障制度改革的部署要求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,结合我区实际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,提出如下实施意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见</w:t>
      </w:r>
      <w:r>
        <w:rPr>
          <w:rFonts w:ascii="微软雅黑" w:hAnsi="微软雅黑" w:eastAsia="微软雅黑" w:cs="微软雅黑"/>
          <w:spacing w:val="-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line="178" w:lineRule="auto"/>
        <w:ind w:left="63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总体要求</w:t>
      </w:r>
    </w:p>
    <w:p>
      <w:pPr>
        <w:spacing w:before="209" w:line="291" w:lineRule="auto"/>
        <w:ind w:left="5" w:firstLine="660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习近平新时代中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国特色社会主义思想为指导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全面贯彻党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的十九大和十九届历次全会精神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深入贯彻中央第七次西藏工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座谈会精神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深入贯彻习近平总书记关于西藏工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作的重要指示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精</w:t>
      </w:r>
    </w:p>
    <w:p>
      <w:pPr>
        <w:sectPr>
          <w:footerReference r:id="rId5" w:type="default"/>
          <w:pgSz w:w="10884" w:h="15193"/>
          <w:pgMar w:top="1291" w:right="1029" w:bottom="908" w:left="1043" w:header="0" w:footer="528" w:gutter="0"/>
          <w:cols w:space="720" w:num="1"/>
        </w:sectPr>
      </w:pPr>
    </w:p>
    <w:p>
      <w:pPr>
        <w:spacing w:before="60" w:line="287" w:lineRule="auto"/>
        <w:ind w:right="61" w:firstLine="1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神和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新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时代党的治藏方略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,按照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治区第十次党代会部署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坚持以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人民为中心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坚持共同富裕方向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坚持应保尽保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、保障基本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尽力而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、量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力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而行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,推动民生改善更可持续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聚焦减轻困难群众重特大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疾病医疗费用负担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强化基本医保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、医疗救助综合保障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全防范和化解因病返贫致贫长效机制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细化实化政策措施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难群众基本医疗有保障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不因罹患重特大疾病影响基本生活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避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免过度保障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促进各类医疗保障互补衔接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提高重特大疾病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元医疗需求保障水平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,构建政府主导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、多方参与的多层次医疗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障体系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1" w:line="179" w:lineRule="auto"/>
        <w:ind w:left="63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医疗救助对象范</w:t>
      </w:r>
      <w:r>
        <w:rPr>
          <w:rFonts w:ascii="黑体" w:hAnsi="黑体" w:eastAsia="黑体" w:cs="黑体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围</w:t>
      </w:r>
    </w:p>
    <w:p>
      <w:pPr>
        <w:spacing w:before="202" w:line="286" w:lineRule="auto"/>
        <w:ind w:right="70" w:firstLine="66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3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疗救助制度公平覆盖医疗费用负担较重的城乡居民和困难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职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,按照医疗救助对象类别实施分类救助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我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医疗救助对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包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括以下五类人员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>
      <w:pPr>
        <w:spacing w:before="1" w:line="204" w:lineRule="auto"/>
        <w:ind w:left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类救助对象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:城乡特困救助供养对象(以下称特困人员)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165" w:line="286" w:lineRule="auto"/>
        <w:ind w:left="15" w:right="70" w:firstLine="62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类救助对象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孤儿(含事实无人抚养儿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童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度残疾人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4" w:line="285" w:lineRule="auto"/>
        <w:ind w:left="12" w:right="70" w:firstLine="63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4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三类救助对象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:城乡最低生活保障家庭成员(以下称低保对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象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1" w:line="290" w:lineRule="auto"/>
        <w:ind w:right="70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类救助对象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纳入防止返贫致贫监测范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围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的易返贫致贫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(以下称易返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贫致贫人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,含脱贫不稳定户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、边缘易致贫户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、因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病突发严重困难户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,下同)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,城乡困难低保边缘家庭成员(以下称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低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边缘对象)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,经工会部门认定的困难职工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ectPr>
          <w:footerReference r:id="rId6" w:type="default"/>
          <w:pgSz w:w="10884" w:h="15193"/>
          <w:pgMar w:top="1147" w:right="959" w:bottom="908" w:left="1042" w:header="0" w:footer="528" w:gutter="0"/>
          <w:cols w:space="720" w:num="1"/>
        </w:sectPr>
      </w:pPr>
    </w:p>
    <w:p>
      <w:pPr>
        <w:spacing w:before="69" w:line="287" w:lineRule="auto"/>
        <w:ind w:left="12" w:right="8" w:firstLine="638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五类救助对象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不属于以上四类救助对象但因高额医疗费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rFonts w:ascii="微软雅黑" w:hAnsi="微软雅黑" w:eastAsia="微软雅黑" w:cs="微软雅黑"/>
          <w:spacing w:val="3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支出导致家庭基本生活出现严重困难的大病患者(以下称因病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贫重病患者)</w:t>
      </w:r>
      <w:r>
        <w:rPr>
          <w:rFonts w:ascii="微软雅黑" w:hAnsi="微软雅黑" w:eastAsia="微软雅黑" w:cs="微软雅黑"/>
          <w:spacing w:val="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以及县级以上人民政府规定的其他特殊困难</w:t>
      </w:r>
      <w:r>
        <w:rPr>
          <w:rFonts w:ascii="微软雅黑" w:hAnsi="微软雅黑" w:eastAsia="微软雅黑" w:cs="微软雅黑"/>
          <w:spacing w:val="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</w:t>
      </w:r>
      <w:r>
        <w:rPr>
          <w:rFonts w:ascii="微软雅黑" w:hAnsi="微软雅黑" w:eastAsia="微软雅黑" w:cs="微软雅黑"/>
          <w:spacing w:val="-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line="192" w:lineRule="auto"/>
        <w:ind w:left="64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优化医疗救助资助参</w:t>
      </w:r>
      <w:r>
        <w:rPr>
          <w:rFonts w:ascii="黑体" w:hAnsi="黑体" w:eastAsia="黑体" w:cs="黑体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</w:p>
    <w:p>
      <w:pPr>
        <w:spacing w:before="169" w:line="285" w:lineRule="auto"/>
        <w:ind w:firstLine="65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)完善分类资助参保政策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困难群众依法参加基本医保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规定享有三重制度保障权益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全面落实城乡居民基本医疗保险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(以下称居民医保)参保资助政策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,对第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、第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类救助对象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居民医保的按最高缴费档次给予全额资助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对第三类(含返贫致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,下同)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、第四类救助对象参加居民医保的按最高缴费档次给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予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定额资助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定额资助对象个人按居民医保最高缴费档次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10%缴</w:t>
      </w:r>
      <w:r>
        <w:rPr>
          <w:rFonts w:ascii="微软雅黑" w:hAnsi="微软雅黑" w:eastAsia="微软雅黑" w:cs="微软雅黑"/>
          <w:position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纳保险费后其余部分享受资助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参保资助覆盖民政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、乡村振兴、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、残联等部门年度内所有动态调整对象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多重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身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份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,缴费资助按照就高不就低原则确定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全额和定额参保资助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需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资金统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由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医疗救助资金解决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、财政厅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振兴局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、税务局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、总工会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,各地(市)行署(人民政府)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列第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位者为牵头部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下同〕</w:t>
      </w:r>
    </w:p>
    <w:p>
      <w:pPr>
        <w:spacing w:before="1" w:line="286" w:lineRule="auto"/>
        <w:ind w:left="9" w:right="8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(二)抓实参保动员和缴费工作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各地(市)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、县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(镇)政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府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、街道办事处要切实履行参保动员主体责任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,推进全民参保计划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地落实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做好分类参保资助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重点做好已脱贫人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参保动员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健全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跨部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多层次信息共享和交换机制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每月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县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区)民政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、乡村振兴、工会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、残联等部门将新增核准身份信息的资</w:t>
      </w:r>
    </w:p>
    <w:p>
      <w:pPr>
        <w:sectPr>
          <w:footerReference r:id="rId7" w:type="default"/>
          <w:pgSz w:w="10884" w:h="15193"/>
          <w:pgMar w:top="1147" w:right="1021" w:bottom="900" w:left="1036" w:header="0" w:footer="532" w:gutter="0"/>
          <w:cols w:space="720" w:num="1"/>
        </w:sectPr>
      </w:pPr>
    </w:p>
    <w:p>
      <w:pPr>
        <w:spacing w:before="61" w:line="287" w:lineRule="auto"/>
        <w:ind w:right="108" w:firstLine="8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保对象和退出人员名单以部门文件抄送同级医保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、税务部门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2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保部门做好参保身份变更,确保次月起享受医疗救助保障,对于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身份变更时未缴费的对象税务部门按规定及时开展个人费用征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缴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pacing w:val="-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民政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、工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、残联等部门年度内动态新增调整救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对象在当年年底集中缴费期享受相应资助参保政策,身份变更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参保缴费不再进行退费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适应人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流动和参保需求变化,灵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活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调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整救助对象参保缴费方式,确保及时参保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、应保尽保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、乡村振兴局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、税务局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、总工会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、残联,各地(市)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行署(人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政府)〕</w:t>
      </w:r>
    </w:p>
    <w:p>
      <w:pPr>
        <w:spacing w:before="1" w:line="178" w:lineRule="auto"/>
        <w:ind w:left="65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强化三重制度综合保障</w:t>
      </w:r>
    </w:p>
    <w:p>
      <w:pPr>
        <w:spacing w:before="193" w:line="285" w:lineRule="auto"/>
        <w:ind w:left="8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(三)促进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重制度互补衔接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统筹发挥基本医保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医疗救助三重制度综合梯次减负功能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夯实基本医保主体保障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rFonts w:ascii="微软雅黑" w:hAnsi="微软雅黑" w:eastAsia="微软雅黑" w:cs="微软雅黑"/>
          <w:spacing w:val="3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,严格执行基本医保支付范围和标准,实施公平适度保障,巩固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住院待遇保障水平,补齐门诊保障短板;增强大病保险减负功能</w:t>
      </w:r>
      <w:r>
        <w:rPr>
          <w:rFonts w:ascii="微软雅黑" w:hAnsi="微软雅黑" w:eastAsia="微软雅黑" w:cs="微软雅黑"/>
          <w:spacing w:val="3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全面落实大病保险普惠待遇政策基础上,在规定的</w:t>
      </w:r>
      <w:r>
        <w:rPr>
          <w:rFonts w:ascii="微软雅黑" w:hAnsi="微软雅黑" w:eastAsia="微软雅黑" w:cs="微软雅黑"/>
          <w:spacing w:val="2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rFonts w:ascii="微软雅黑" w:hAnsi="微软雅黑" w:eastAsia="微软雅黑" w:cs="微软雅黑"/>
          <w:spacing w:val="28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年过渡期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内对特困人员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低保对象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返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贫致贫人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实施起付线降低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50%</w:t>
      </w:r>
      <w:r>
        <w:rPr>
          <w:rFonts w:ascii="微软雅黑" w:hAnsi="微软雅黑" w:eastAsia="微软雅黑" w:cs="微软雅黑"/>
          <w:spacing w:val="-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销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比例提高</w:t>
      </w:r>
      <w:r>
        <w:rPr>
          <w:rFonts w:ascii="微软雅黑" w:hAnsi="微软雅黑" w:eastAsia="微软雅黑" w:cs="微软雅黑"/>
          <w:spacing w:val="3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5%的倾斜保障政策;夯实医疗救助托底保障功能,按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照“先保险后救助”原则,对经基本医保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、大病保险等支付后个人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费用负担仍然较重的救助对象按规定实施救助,合力防范</w:t>
      </w:r>
      <w:r>
        <w:rPr>
          <w:rFonts w:ascii="微软雅黑" w:hAnsi="微软雅黑" w:eastAsia="微软雅黑" w:cs="微软雅黑"/>
          <w:spacing w:val="2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返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致贫风险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不断完善易返贫致贫人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医保帮扶措施,推动实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现巩</w:t>
      </w:r>
      <w:r>
        <w:rPr>
          <w:rFonts w:ascii="微软雅黑" w:hAnsi="微软雅黑" w:eastAsia="微软雅黑" w:cs="微软雅黑"/>
          <w:spacing w:val="-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固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拓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展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脱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攻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成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果同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村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振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兴战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略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效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衔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接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保局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、财政厅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、银保监局)</w:t>
      </w:r>
    </w:p>
    <w:p>
      <w:pPr>
        <w:sectPr>
          <w:footerReference r:id="rId8" w:type="default"/>
          <w:pgSz w:w="10884" w:h="15193"/>
          <w:pgMar w:top="1147" w:right="913" w:bottom="904" w:left="1037" w:header="0" w:footer="528" w:gutter="0"/>
          <w:cols w:space="720" w:num="1"/>
        </w:sectPr>
      </w:pPr>
    </w:p>
    <w:p>
      <w:pPr>
        <w:spacing w:before="54" w:line="179" w:lineRule="auto"/>
        <w:ind w:left="62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夯实医疗救助托底保障</w:t>
      </w:r>
    </w:p>
    <w:p>
      <w:pPr>
        <w:spacing w:before="201" w:line="286" w:lineRule="auto"/>
        <w:ind w:left="1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(四)明确救助费用保障范围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坚持保基本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妥善解决救助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象政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策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范围内基本医疗需求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医疗救助费用主要覆盖救助对象在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4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医药机构发生的住院费用</w:t>
      </w:r>
      <w:r>
        <w:rPr>
          <w:rFonts w:ascii="微软雅黑" w:hAnsi="微软雅黑" w:eastAsia="微软雅黑" w:cs="微软雅黑"/>
          <w:spacing w:val="2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、因慢性病需长期服药或患重特大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疾病需长期门诊治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的费用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由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医疗救助基金支付的药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品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、医用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耗材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、医疗服务项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原则上应符合国家有关基本医保支付范围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规定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继续将救助对象未达到基本医保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、大病保险起付线的个人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付医疗费用按规定纳入救助保障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除国家和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区另有明确规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定外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各地不得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行制定或用变通的方法擅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扩大至“三个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录”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以外的医疗费用保障范围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,各地(市)行署(人民政府)〕</w:t>
      </w:r>
    </w:p>
    <w:p>
      <w:pPr>
        <w:spacing w:before="2" w:line="285" w:lineRule="auto"/>
        <w:ind w:left="34" w:right="298" w:firstLine="61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五)合理确定医疗救助标准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按救助对象家庭困难情况和就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类型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,分类设定年度救助标准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,统筹加强住院和门诊救助保障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1" w:line="275" w:lineRule="auto"/>
        <w:ind w:right="298" w:firstLine="63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5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住院和门诊特殊病救助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救助对象政策范围内个人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疗费</w:t>
      </w:r>
      <w:r>
        <w:rPr>
          <w:rFonts w:ascii="微软雅黑" w:hAnsi="微软雅黑" w:eastAsia="微软雅黑" w:cs="微软雅黑"/>
          <w:spacing w:val="-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助限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额内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别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额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、第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95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%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第四类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90%比例给予救助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我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区住院和门诊特殊病医疗救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共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用年度救助限额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普通医疗救助年度限额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万元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重特大疾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医疗救助年度限额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万元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救助对象医疗费用经基本医保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保险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、普通医疗救助(不设起付线)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报销后的政策范围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内个人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费用达到我区上年城乡</w:t>
      </w:r>
      <w:r>
        <w:rPr>
          <w:rFonts w:ascii="微软雅黑" w:hAnsi="微软雅黑" w:eastAsia="微软雅黑" w:cs="微软雅黑"/>
          <w:spacing w:val="2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居民人均可支配收入</w:t>
      </w:r>
      <w:r>
        <w:rPr>
          <w:rFonts w:ascii="微软雅黑" w:hAnsi="微软雅黑" w:eastAsia="微软雅黑" w:cs="微软雅黑"/>
          <w:spacing w:val="2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5%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以上的</w:t>
      </w:r>
      <w:r>
        <w:rPr>
          <w:rFonts w:ascii="微软雅黑" w:hAnsi="微软雅黑" w:eastAsia="微软雅黑" w:cs="微软雅黑"/>
          <w:spacing w:val="2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2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给予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特大疾病医疗救助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重特大疾病住院救助有病种限制的地(市)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要予以取消并全面过渡到按医疗费用保障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line="200" w:lineRule="auto"/>
        <w:ind w:left="62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1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11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普通门诊救助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1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救助对象在定点医药机构发生政策范围内</w:t>
      </w:r>
    </w:p>
    <w:p>
      <w:pPr>
        <w:sectPr>
          <w:footerReference r:id="rId9" w:type="default"/>
          <w:pgSz w:w="10884" w:h="15193"/>
          <w:pgMar w:top="1175" w:right="731" w:bottom="904" w:left="1044" w:header="0" w:footer="532" w:gutter="0"/>
          <w:cols w:space="720" w:num="1"/>
        </w:sectPr>
      </w:pPr>
    </w:p>
    <w:p>
      <w:pPr>
        <w:spacing w:before="66" w:line="273" w:lineRule="auto"/>
        <w:ind w:left="11" w:firstLine="2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普通门诊治疗费用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,经基本医保门诊统筹制度报销后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,按第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类全额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第三类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95%</w:t>
      </w:r>
      <w:r>
        <w:rPr>
          <w:rFonts w:ascii="微软雅黑" w:hAnsi="微软雅黑" w:eastAsia="微软雅黑" w:cs="微软雅黑"/>
          <w:spacing w:val="4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第四类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90%比例给予救助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年度最高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助限额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元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5" w:line="281" w:lineRule="auto"/>
        <w:ind w:firstLine="63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3.</w:t>
      </w:r>
      <w:r>
        <w:rPr>
          <w:rFonts w:ascii="微软雅黑" w:hAnsi="微软雅黑" w:eastAsia="微软雅黑" w:cs="微软雅黑"/>
          <w:spacing w:val="2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医保局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财政厅根据经济社会发展水平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人民健康需求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疗救助基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金支撑能力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合理调整我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待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遇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平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、财政厅)</w:t>
      </w:r>
    </w:p>
    <w:p>
      <w:pPr>
        <w:spacing w:before="1" w:line="179" w:lineRule="auto"/>
        <w:ind w:left="63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六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健全防范化解因病返贫致贫长效机制</w:t>
      </w:r>
    </w:p>
    <w:p>
      <w:pPr>
        <w:spacing w:before="201" w:line="283" w:lineRule="auto"/>
        <w:ind w:left="2" w:firstLine="65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六)强化高额医疗费用支出预警监测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完善规范医保部门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返贫和因病致贫监测系统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分类细化落实因病返贫和因病致贫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双预警监测标准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对脱贫人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中个人年度累计负担的医疗费用超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过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本地(市)上年农村居民人均可支配收入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50%的</w:t>
      </w:r>
      <w:r>
        <w:rPr>
          <w:rFonts w:ascii="微软雅黑" w:hAnsi="微软雅黑" w:eastAsia="微软雅黑" w:cs="微软雅黑"/>
          <w:spacing w:val="19"/>
          <w:position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9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纳入医保部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病返贫监测预警范围</w:t>
      </w:r>
      <w:r>
        <w:rPr>
          <w:rFonts w:ascii="微软雅黑" w:hAnsi="微软雅黑" w:eastAsia="微软雅黑" w:cs="微软雅黑"/>
          <w:spacing w:val="2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;对城乡居民中个人年度累计负担的医疗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费用超过我区上年城乡居民人均可支配收入的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纳入医保部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病致贫监测预警范围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地(市)和县(区)医保部门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因病返贫和致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监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测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预警数据要在每月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rFonts w:ascii="微软雅黑" w:hAnsi="微软雅黑" w:eastAsia="微软雅黑" w:cs="微软雅黑"/>
          <w:spacing w:val="11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前以部门文件抄送同级民政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村振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兴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部门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,供相关部门核查比对和身份认定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医保部门对民政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村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振兴等部门每月动态确认的对象按规定及时纳入或退出医疗救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保障范围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协同做好风险研判和帮扶工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村振兴局</w:t>
      </w:r>
      <w:r>
        <w:rPr>
          <w:rFonts w:ascii="微软雅黑" w:hAnsi="微软雅黑" w:eastAsia="微软雅黑" w:cs="微软雅黑"/>
          <w:spacing w:val="2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,各地(市)行署(人民政府)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〕</w:t>
      </w:r>
    </w:p>
    <w:p>
      <w:pPr>
        <w:spacing w:before="2" w:line="292" w:lineRule="auto"/>
        <w:ind w:left="8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七)规范畅通依申请救助机制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各地(市)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、县(区)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要不断规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范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和畅通依申请救助机制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增强救助时效性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、精准性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将第五类救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助对象因病致贫重病患者全面纳入依申请救助范围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ectPr>
          <w:footerReference r:id="rId10" w:type="default"/>
          <w:pgSz w:w="10884" w:h="15193"/>
          <w:pgMar w:top="1147" w:right="1029" w:bottom="904" w:left="1037" w:header="0" w:footer="532" w:gutter="0"/>
          <w:cols w:space="720" w:num="1"/>
        </w:sectPr>
      </w:pPr>
    </w:p>
    <w:p>
      <w:pPr>
        <w:spacing w:before="68" w:line="277" w:lineRule="auto"/>
        <w:ind w:left="15" w:firstLine="62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救助条件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参保患者医疗费用经基本医保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大病保险支付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后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负担达到或超过其家庭上年收入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40%的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因病致贫重病患者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9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民家庭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经济状况的核对工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作按《西藏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申请救助居民家庭经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济状况核对办法》执行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2" w:line="271" w:lineRule="auto"/>
        <w:ind w:left="6" w:firstLine="62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9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救助标准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因病致贫重病患者计入救助范围的医疗费用为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认定之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24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个月内在定点医疗机构产生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0%比例在年度救助限额内予以救助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7" w:line="280" w:lineRule="auto"/>
        <w:ind w:left="8" w:firstLine="62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0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3.</w:t>
      </w:r>
      <w:r>
        <w:rPr>
          <w:rFonts w:ascii="微软雅黑" w:hAnsi="微软雅黑" w:eastAsia="微软雅黑" w:cs="微软雅黑"/>
          <w:spacing w:val="-10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程序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依申请医疗救助的具体申请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审核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结算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给付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程序由各地(市)医保部门会同相关部门结合实际细化明确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销方式由县(区)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医保部门按规定程序审批后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给予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次性医疗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待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遇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,各地(市)行署(人民政府)〕</w:t>
      </w:r>
    </w:p>
    <w:p>
      <w:pPr>
        <w:spacing w:before="9" w:line="286" w:lineRule="auto"/>
        <w:ind w:firstLine="65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八)坚决防止因病返贫致贫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我区参保患者医疗费用经直接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助或依申请救助后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政策范围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内个人负担医疗费用负担仍较重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,及时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启动防止因病致贫返贫“一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事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议”工作机制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由参保地县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(区)人民政府组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织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、卫生健康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、乡村振兴等部门召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开医疗救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专题会议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事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议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、专题研究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、限时解决原则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年度救助限额和待遇类型限制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根据救助对象困难程度给予医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防止因病返贫致贫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同时避免过度保障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署(人民政府)〕</w:t>
      </w:r>
    </w:p>
    <w:p>
      <w:pPr>
        <w:spacing w:line="181" w:lineRule="auto"/>
        <w:ind w:left="63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七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鼓励社会力量参与救助保</w:t>
      </w:r>
      <w:r>
        <w:rPr>
          <w:rFonts w:ascii="黑体" w:hAnsi="黑体" w:eastAsia="黑体" w:cs="黑体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</w:t>
      </w:r>
    </w:p>
    <w:p>
      <w:pPr>
        <w:spacing w:before="201" w:line="296" w:lineRule="auto"/>
        <w:ind w:left="18" w:firstLine="63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九)积极发展慈善救助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鼓励慈善组织和其他社会组织募集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慈善救助资金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,设立大病救助项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积极参与重特大疾病医疗</w:t>
      </w:r>
    </w:p>
    <w:p>
      <w:pPr>
        <w:sectPr>
          <w:footerReference r:id="rId11" w:type="default"/>
          <w:pgSz w:w="10884" w:h="15193"/>
          <w:pgMar w:top="1147" w:right="1029" w:bottom="904" w:left="1037" w:header="0" w:footer="528" w:gutter="0"/>
          <w:cols w:space="720" w:num="1"/>
        </w:sectPr>
      </w:pPr>
    </w:p>
    <w:p>
      <w:pPr>
        <w:spacing w:before="61" w:line="286" w:lineRule="auto"/>
        <w:ind w:right="111" w:firstLine="1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,发挥对医保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录范围外费用的补充救助作用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促进互联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公开募捐信息平台发展和平台间慈善资源共享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规范互联网个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大病求助平台信息发布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推行阳光救助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支持医疗救助领域社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作和志愿服务发展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丰富救助服务内容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根据经济社会发展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平和各方承受能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力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,整合医疗保障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、社会救助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、慈善帮扶等资源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施综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合救助保障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汇集社会力量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,共同关爱和帮扶困难患者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建立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慈善参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激励机制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落实相应税收优惠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、费用减免等政策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(民政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厅</w:t>
      </w:r>
      <w:r>
        <w:rPr>
          <w:rFonts w:ascii="微软雅黑" w:hAnsi="微软雅黑" w:eastAsia="微软雅黑" w:cs="微软雅黑"/>
          <w:spacing w:val="-2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</w:t>
      </w:r>
      <w:r>
        <w:rPr>
          <w:rFonts w:ascii="微软雅黑" w:hAnsi="微软雅黑" w:eastAsia="微软雅黑" w:cs="微软雅黑"/>
          <w:spacing w:val="-2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、税务局)</w:t>
      </w:r>
    </w:p>
    <w:p>
      <w:pPr>
        <w:spacing w:before="10" w:line="286" w:lineRule="auto"/>
        <w:ind w:left="1" w:firstLine="65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十)统筹发展医疗互助和商业健康保险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支持工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会组织开展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职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工医疗互助保障活动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加强医疗互助与医疗保障衔接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支持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健康保险发展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丰富健康保险产品供给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引导和支持商业保险机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构探索实施满足基本医疗保障以外的惠民型商业健康保险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构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次医疗保障体系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用足用好商业健康保险个人所得税政策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鼓励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业保险机构加强产品创新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在产品定价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、赔付条件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、保障范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围等方面对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难群众适当倾斜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(总工会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、银保监局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</w:p>
    <w:p>
      <w:pPr>
        <w:spacing w:before="1" w:line="180" w:lineRule="auto"/>
        <w:ind w:left="63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八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完善经办管理服</w:t>
      </w:r>
      <w:r>
        <w:rPr>
          <w:rFonts w:ascii="黑体" w:hAnsi="黑体" w:eastAsia="黑体" w:cs="黑体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</w:t>
      </w:r>
    </w:p>
    <w:p>
      <w:pPr>
        <w:spacing w:before="207" w:line="289" w:lineRule="auto"/>
        <w:ind w:left="5" w:firstLine="64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十一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)加快推进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体化经办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细化完善救助服务事项清单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定出台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医疗救助经办管理服务规程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落实救助对象信息共享互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认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、资助参保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、待遇给付等经办服务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,依法依规加强数据归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管理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助对象医疗费用依托全国统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的医疗保障信息平台实行基本医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-3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、医疗救助“一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站式”服务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、“一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窗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口”办理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,提高结算服</w:t>
      </w:r>
    </w:p>
    <w:p>
      <w:pPr>
        <w:sectPr>
          <w:footerReference r:id="rId12" w:type="default"/>
          <w:pgSz w:w="10884" w:h="15193"/>
          <w:pgMar w:top="1147" w:right="918" w:bottom="907" w:left="1036" w:header="0" w:footer="532" w:gutter="0"/>
          <w:cols w:space="720" w:num="1"/>
        </w:sectPr>
      </w:pPr>
    </w:p>
    <w:p>
      <w:pPr>
        <w:spacing w:before="65" w:line="286" w:lineRule="auto"/>
        <w:ind w:firstLine="7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务便利性,确保符合条件的困难群众能及时得到医疗救助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协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议管理,夯实定点医疗机构费用管控主体责任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基金监管,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做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好费用监控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、稽查审核,保持打击欺诈骗保高压态势,对产生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疗救助结算的定点医疗机构实行重点监控,确保基金安全高效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理使用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(医保局)</w:t>
      </w:r>
    </w:p>
    <w:p>
      <w:pPr>
        <w:spacing w:before="12" w:line="285" w:lineRule="auto"/>
        <w:ind w:left="3" w:right="8" w:firstLine="64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十二)优化救助申请审核程序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各级医保经办机构要简化申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请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、审核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、救助资金给付流程,对救助对象进行系统标识和即时结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算,实行动态调整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加强部门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间工作协同,全面对接社会救助经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办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服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务,各地(市)在制定依申请医疗救助规程中,要按照部门分工</w:t>
      </w:r>
      <w:r>
        <w:rPr>
          <w:rFonts w:ascii="微软雅黑" w:hAnsi="微软雅黑" w:eastAsia="微软雅黑" w:cs="微软雅黑"/>
          <w:spacing w:val="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镇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、街道)职责做好困难群众医疗救助申请受理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、办理时限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、分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办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转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办及结果反馈等工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动员基层干部,依托基层医疗卫生机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构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,做好政策宣传和救助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申请委托代办等,及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主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帮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助困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群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众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、卫生健康委,各地(市)行署(人民政府)〕</w:t>
      </w:r>
    </w:p>
    <w:p>
      <w:pPr>
        <w:spacing w:line="288" w:lineRule="auto"/>
        <w:ind w:left="1" w:right="8" w:firstLine="646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十三)提高综合服务管理水平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积极引导救助对象到基层医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卫生机构首诊,规范转诊,促进分级诊疗和合理有序就医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象异地安置或按规定异地转诊并在定点医疗机构就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的,住院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起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付线连续计算,跨统筹区就医报销比例不降低,执行参保统筹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等待遇政策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完善定点医疗机构医疗救助服务内容,提高服务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质量,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经基层首诊转诊的特困人员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、低保对象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、孤儿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、防止返贫致贫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监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测对象在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内定点医疗机构住院,实行“先诊疗后付费”,全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面免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住院押金,按规定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做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好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用结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算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着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效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、经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济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宜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、救助基本的原则,引导医疗救助对象和定点医疗机构优先选择</w:t>
      </w:r>
    </w:p>
    <w:p>
      <w:pPr>
        <w:sectPr>
          <w:footerReference r:id="rId13" w:type="default"/>
          <w:pgSz w:w="10884" w:h="15193"/>
          <w:pgMar w:top="1147" w:right="1021" w:bottom="901" w:left="1043" w:header="0" w:footer="532" w:gutter="0"/>
          <w:cols w:space="720" w:num="1"/>
        </w:sectPr>
      </w:pPr>
    </w:p>
    <w:p>
      <w:pPr>
        <w:spacing w:before="66" w:line="290" w:lineRule="auto"/>
        <w:ind w:left="3" w:right="111" w:firstLine="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入基本医保支付范围的药品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、医用耗材和医疗服务项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,严控不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合理费用支出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(卫生健康委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、医保局)</w:t>
      </w:r>
    </w:p>
    <w:p>
      <w:pPr>
        <w:spacing w:before="1" w:line="178" w:lineRule="auto"/>
        <w:ind w:left="62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九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</w:t>
      </w:r>
      <w:r>
        <w:rPr>
          <w:rFonts w:ascii="黑体" w:hAnsi="黑体" w:eastAsia="黑体" w:cs="黑体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组织保障</w:t>
      </w:r>
    </w:p>
    <w:p>
      <w:pPr>
        <w:spacing w:before="200" w:line="286" w:lineRule="auto"/>
        <w:ind w:left="1" w:right="111" w:firstLine="646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(十四)强化组织领导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各地要落实主体责任,进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步健全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善党委领导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、政府主导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、部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门协同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、社会参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与的重特大疾病保障工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机制,将困难群众重特大疾病医疗救助托底保障政策落实情况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为加强和改善民生工作的重要指标,纳入医疗救助工</w:t>
      </w:r>
      <w:r>
        <w:rPr>
          <w:rFonts w:ascii="微软雅黑" w:hAnsi="微软雅黑" w:eastAsia="微软雅黑" w:cs="微软雅黑"/>
          <w:spacing w:val="2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作绩效评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价,确保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政策落地见效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、制度可持续发展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、群众得到实惠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各地要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立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高效的议事协调工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作机制,妥善处理医疗救助政策难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解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决的个案问题,避免发生社会负面影响事件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。〔各地(市)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署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人民政府)〕</w:t>
      </w:r>
    </w:p>
    <w:p>
      <w:pPr>
        <w:spacing w:before="8" w:line="287" w:lineRule="auto"/>
        <w:ind w:firstLine="647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(十五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)凝聚工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作合力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加强部门协同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,合力推进工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部门要统筹推进医疗保险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、医疗救助制度改革和管理工作,落实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好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医疗保障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策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民政部门要做好特困人员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、孤儿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、低保对象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、低保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边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缘对象的认定和信息共享工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作,做好因病致贫重病患者核对,支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持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发展慈善救助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财政部门要按规定做好资金支持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卫生健康部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门要强化对医疗机构的行业管理,规范诊疗路径,促进分级诊疗</w:t>
      </w:r>
      <w:r>
        <w:rPr>
          <w:rFonts w:ascii="微软雅黑" w:hAnsi="微软雅黑" w:eastAsia="微软雅黑" w:cs="微软雅黑"/>
          <w:spacing w:val="2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税务部门要做好基本医保保费征缴相关工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银保监部门要加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商业保险机构承办大病保险的行业监管,规范商业健康保险发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展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乡村振兴部门要做好易返贫致贫人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和返贫致贫人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的监测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管理和信息共享工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会部门要做好职工医疗互助和罹患大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困难职工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帮扶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难职工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认定和信息共享工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残联部门要做好</w:t>
      </w:r>
    </w:p>
    <w:p>
      <w:pPr>
        <w:sectPr>
          <w:footerReference r:id="rId14" w:type="default"/>
          <w:pgSz w:w="10884" w:h="15193"/>
          <w:pgMar w:top="1147" w:right="918" w:bottom="908" w:left="1043" w:header="0" w:footer="532" w:gutter="0"/>
          <w:cols w:space="720" w:num="1"/>
        </w:sectPr>
      </w:pPr>
    </w:p>
    <w:p>
      <w:pPr>
        <w:spacing w:before="65" w:line="286" w:lineRule="auto"/>
        <w:ind w:right="8" w:firstLine="1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重度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残疾人认定和信息共享工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、财政厅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、卫生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健康委</w:t>
      </w:r>
      <w:r>
        <w:rPr>
          <w:rFonts w:ascii="微软雅黑" w:hAnsi="微软雅黑" w:eastAsia="微软雅黑" w:cs="微软雅黑"/>
          <w:spacing w:val="-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、税务局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、银保监局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、乡村振兴局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、总工会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署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(人民政府)〕</w:t>
      </w:r>
    </w:p>
    <w:p>
      <w:pPr>
        <w:spacing w:before="12" w:line="285" w:lineRule="auto"/>
        <w:ind w:left="8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十六)加强基金预算管理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建立全区统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的医疗救助基金管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理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制度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积极推进医疗救助统筹层次与基本医疗保险统筹层次相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,提高救助资金使用效率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强化医疗救助基金预算管理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医疗救助投入保障责任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强化地(市)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、县(区)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两级财政事权责任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规范医疗救助基金财政专户和支出专户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专款专用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确保医疗救助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基金安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运行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拓宽筹资渠道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动员社会力量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通过慈善和社会捐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多渠道筹集资金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统筹医疗救助资金使用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加强预算执行监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督</w:t>
      </w:r>
      <w:r>
        <w:rPr>
          <w:rFonts w:ascii="微软雅黑" w:hAnsi="微软雅黑" w:eastAsia="微软雅黑" w:cs="微软雅黑"/>
          <w:spacing w:val="-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,全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实施预算绩效管理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(财政厅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、民政厅)</w:t>
      </w:r>
    </w:p>
    <w:p>
      <w:pPr>
        <w:spacing w:before="12" w:line="285" w:lineRule="auto"/>
        <w:ind w:left="4" w:firstLine="64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十七)强化基层能力建设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加强医疗保障公共管理服务能力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配置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补齐基层医疗保障经办服务队伍短板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政府合理安排资金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证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医疗保障公共服务机构正常运行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推进医保治理创新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大力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推进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疗救助经办服务下沉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(镇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、街道)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要配备专人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实现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、地(市)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、县(区)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(镇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、街道)经办服务全覆盖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积极引入社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力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量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参与经办服务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重点提升信息化和经办服务水平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加强医疗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救助政策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业务能力培训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努力打造综合素质高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、工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作作风好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、业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务能力强的基层经办队伍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。〔各地(市)行署(人民政府)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〕</w:t>
      </w:r>
    </w:p>
    <w:p>
      <w:pPr>
        <w:spacing w:before="4" w:line="291" w:lineRule="auto"/>
        <w:ind w:left="9" w:firstLine="64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十八)做好宣传引导工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、各部门要主动做好重特大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保险和救助制度的政策解读和服务宣传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,及时回应社会关切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合理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引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导预期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充分宣传对减轻参保人员医疗费用负担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、促进制</w:t>
      </w:r>
    </w:p>
    <w:p>
      <w:pPr>
        <w:sectPr>
          <w:footerReference r:id="rId15" w:type="default"/>
          <w:pgSz w:w="10884" w:h="15193"/>
          <w:pgMar w:top="1147" w:right="1021" w:bottom="908" w:left="1037" w:header="0" w:footer="528" w:gutter="0"/>
          <w:cols w:space="720" w:num="1"/>
        </w:sectPr>
      </w:pPr>
    </w:p>
    <w:p>
      <w:pPr>
        <w:spacing w:before="69" w:line="286" w:lineRule="auto"/>
        <w:ind w:left="9" w:right="67" w:firstLine="5"/>
        <w:rPr>
          <w:rFonts w:ascii="微软雅黑" w:hAnsi="微软雅黑" w:eastAsia="微软雅黑" w:cs="微软雅黑"/>
          <w:sz w:val="29"/>
          <w:szCs w:val="29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4295140</wp:posOffset>
            </wp:positionH>
            <wp:positionV relativeFrom="page">
              <wp:posOffset>8908415</wp:posOffset>
            </wp:positionV>
            <wp:extent cx="1788160" cy="39560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8134" cy="3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3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更加公平更可持续的重要作用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要建立舆情监测和处置机制,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极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主动回应社会关切,营造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良好舆论氛围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、各地(市)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署(人民政府)〕</w:t>
      </w:r>
    </w:p>
    <w:p>
      <w:pPr>
        <w:spacing w:before="8" w:line="277" w:lineRule="auto"/>
        <w:ind w:left="21" w:firstLine="64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(十九)实施时间和政策衔接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本实施意见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2022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rFonts w:ascii="微软雅黑" w:hAnsi="微软雅黑" w:eastAsia="微软雅黑" w:cs="微软雅黑"/>
          <w:spacing w:val="15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月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rFonts w:ascii="微软雅黑" w:hAnsi="微软雅黑" w:eastAsia="微软雅黑" w:cs="微软雅黑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起施行,有效期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rFonts w:ascii="微软雅黑" w:hAnsi="微软雅黑" w:eastAsia="微软雅黑" w:cs="微软雅黑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由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医疗保障局负责解释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。《西藏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区人民政府办公厅转发民政厅等部门关于进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步完善城乡医疗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制度全面开展重特大疾病医疗救助工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作实施意见的通知》(藏</w:t>
      </w:r>
    </w:p>
    <w:p>
      <w:pPr>
        <w:spacing w:before="2" w:line="297" w:lineRule="auto"/>
        <w:ind w:left="18" w:right="76" w:firstLine="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4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政办发〔2016〕37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号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)同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时废止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此前发布的我区有关医疗救助规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与本实施意见不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致的,以本实施意见为准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4" w:line="205" w:lineRule="auto"/>
        <w:ind w:left="5167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6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22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月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</w:p>
    <w:p>
      <w:pPr>
        <w:spacing w:before="99" w:line="200" w:lineRule="auto"/>
        <w:ind w:left="66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此件公开发布)</w:t>
      </w:r>
    </w:p>
    <w:p/>
    <w:p/>
    <w:p/>
    <w:p/>
    <w:p/>
    <w:p/>
    <w:p/>
    <w:p/>
    <w:p/>
    <w:p/>
    <w:p>
      <w:pPr>
        <w:spacing w:line="75" w:lineRule="auto"/>
        <w:rPr>
          <w:rFonts w:ascii="Arial"/>
          <w:sz w:val="2"/>
        </w:rPr>
      </w:pPr>
    </w:p>
    <w:tbl>
      <w:tblPr>
        <w:tblStyle w:val="4"/>
        <w:tblW w:w="8828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8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828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53" w:line="161" w:lineRule="auto"/>
              <w:ind w:left="31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2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抄</w:t>
            </w:r>
            <w:r>
              <w:rPr>
                <w:rFonts w:ascii="微软雅黑" w:hAnsi="微软雅黑" w:eastAsia="微软雅黑" w:cs="微软雅黑"/>
                <w:spacing w:val="20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送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区党委各部门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,西藏军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,武警西藏总队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。</w:t>
            </w:r>
          </w:p>
          <w:p>
            <w:pPr>
              <w:spacing w:before="1" w:line="181" w:lineRule="auto"/>
              <w:ind w:left="1029" w:right="300" w:firstLine="1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区人大常委会办公厅,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区政协办公厅,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区监委,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区高法院,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区检察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微软雅黑" w:hAnsi="微软雅黑" w:eastAsia="微软雅黑" w:cs="微软雅黑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28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32" w:line="203" w:lineRule="auto"/>
              <w:ind w:left="304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西藏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自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区人民政府办公厅秘书处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微软雅黑" w:hAnsi="微软雅黑" w:eastAsia="微软雅黑" w:cs="微软雅黑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23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印发</w:t>
            </w:r>
          </w:p>
        </w:tc>
      </w:tr>
    </w:tbl>
    <w:p>
      <w:pPr>
        <w:spacing w:line="328" w:lineRule="auto"/>
        <w:rPr>
          <w:rFonts w:ascii="Arial"/>
          <w:sz w:val="21"/>
        </w:rPr>
      </w:pPr>
    </w:p>
    <w:p>
      <w:pPr>
        <w:spacing w:before="124" w:line="164" w:lineRule="auto"/>
        <w:ind w:left="14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"/>
          <w:position w:val="4"/>
          <w:sz w:val="29"/>
          <w:szCs w:val="29"/>
        </w:rPr>
        <w:t xml:space="preserve">—   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12  </w:t>
      </w:r>
      <w:r>
        <w:rPr>
          <w:rFonts w:ascii="微软雅黑" w:hAnsi="微软雅黑" w:eastAsia="微软雅黑" w:cs="微软雅黑"/>
          <w:spacing w:val="1"/>
          <w:position w:val="4"/>
          <w:sz w:val="29"/>
          <w:szCs w:val="29"/>
        </w:rPr>
        <w:t>—</w:t>
      </w:r>
    </w:p>
    <w:sectPr>
      <w:footerReference r:id="rId16" w:type="default"/>
      <w:pgSz w:w="10884" w:h="15193"/>
      <w:pgMar w:top="1147" w:right="953" w:bottom="400" w:left="10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3" w:lineRule="auto"/>
      <w:ind w:right="148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1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2" w:lineRule="auto"/>
      <w:ind w:left="133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2"/>
        <w:position w:val="4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2"/>
        <w:sz w:val="29"/>
        <w:szCs w:val="29"/>
      </w:rPr>
      <w:t xml:space="preserve">10  </w:t>
    </w:r>
    <w:r>
      <w:rPr>
        <w:rFonts w:ascii="微软雅黑" w:hAnsi="微软雅黑" w:eastAsia="微软雅黑" w:cs="微软雅黑"/>
        <w:spacing w:val="1"/>
        <w:position w:val="4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821"/>
      <w:rPr>
        <w:rFonts w:ascii="微软雅黑" w:hAnsi="微软雅黑" w:eastAsia="微软雅黑" w:cs="微软雅黑"/>
        <w:sz w:val="29"/>
        <w:szCs w:val="29"/>
      </w:rPr>
    </w:pPr>
    <w:r>
      <w:pict>
        <v:shape id="_x0000_s2053" o:spid="_x0000_s2053" o:spt="202" type="#_x0000_t202" style="position:absolute;left:0pt;margin-left:361.7pt;margin-top:4.05pt;height:10.1pt;width:16.75pt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pict>
        <v:shape id="_x0000_s2054" o:spid="_x0000_s2054" o:spt="202" type="#_x0000_t202" style="position:absolute;left:0pt;margin-left:416.7pt;margin-top:4.05pt;height:10.1pt;width:16.7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spacing w:val="13"/>
        <w:sz w:val="29"/>
        <w:szCs w:val="29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3" w:lineRule="auto"/>
      <w:ind w:left="134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2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8" w:lineRule="auto"/>
      <w:ind w:right="157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3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2" w:lineRule="auto"/>
      <w:ind w:left="139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4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0" w:lineRule="auto"/>
      <w:ind w:right="446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5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0" w:lineRule="auto"/>
      <w:ind w:left="139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6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75"/>
      <w:rPr>
        <w:rFonts w:ascii="微软雅黑" w:hAnsi="微软雅黑" w:eastAsia="微软雅黑" w:cs="微软雅黑"/>
        <w:sz w:val="29"/>
        <w:szCs w:val="29"/>
      </w:rPr>
    </w:pPr>
    <w:r>
      <w:pict>
        <v:shape id="_x0000_s2049" o:spid="_x0000_s2049" o:spt="202" type="#_x0000_t202" style="position:absolute;left:0pt;margin-left:369.55pt;margin-top:3.9pt;height:10.1pt;width:16.75pt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416.7pt;margin-top:3.9pt;height:10.1pt;width:16.7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spacing w:val="32"/>
        <w:sz w:val="29"/>
        <w:szCs w:val="29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01"/>
      <w:rPr>
        <w:rFonts w:ascii="微软雅黑" w:hAnsi="微软雅黑" w:eastAsia="微软雅黑" w:cs="微软雅黑"/>
        <w:sz w:val="29"/>
        <w:szCs w:val="29"/>
      </w:rPr>
    </w:pPr>
    <w:r>
      <w:pict>
        <v:shape id="_x0000_s2051" o:spid="_x0000_s2051" o:spt="202" type="#_x0000_t202" style="position:absolute;left:0pt;margin-left:6pt;margin-top:4.05pt;height:10.1pt;width:16.7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53.15pt;margin-top:4.05pt;height:10.1pt;width:16.75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spacing w:val="35"/>
        <w:sz w:val="29"/>
        <w:szCs w:val="29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9" w:lineRule="auto"/>
      <w:ind w:right="157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9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08A6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2022-11-30T16:03:00Z</dcterms:created>
  <dc:creator>作者</dc:creator>
  <cp:keywords>关键字</cp:keywords>
  <cp:lastModifiedBy>那一抹阳光</cp:lastModifiedBy>
  <dcterms:modified xsi:type="dcterms:W3CDTF">2022-11-30T09:40:22Z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2022-11-30T17:37:17Z</vt:filetime>
  </property>
  <property fmtid="{D5CDD505-2E9C-101B-9397-08002B2CF9AE}" pid="4" name="KSOProductBuildVer">
    <vt:lpwstr>2052-11.1.0.12763</vt:lpwstr>
  </property>
  <property fmtid="{D5CDD505-2E9C-101B-9397-08002B2CF9AE}" pid="5" name="ICV">
    <vt:lpwstr>A36B67AFFF894B149A635FF5FA76012F</vt:lpwstr>
  </property>
</Properties>
</file>